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646464"/>
          <w:sz w:val="20"/>
        </w:rPr>
        <w:t>UNCLASSIFIED // SYNTHETIC TEST DATA</w:t>
        <w:br/>
      </w:r>
      <w:r>
        <w:rPr>
          <w:rFonts w:ascii="Arial" w:hAnsi="Arial"/>
          <w:b/>
          <w:color w:val="22365D"/>
          <w:sz w:val="36"/>
        </w:rPr>
        <w:t>Ember Reach Supplier Transition Plan</w:t>
        <w:br/>
      </w:r>
      <w:r>
        <w:rPr>
          <w:i/>
          <w:color w:val="464646"/>
          <w:sz w:val="22"/>
        </w:rPr>
        <w:t>Processor module source transition governance</w:t>
        <w:br/>
      </w:r>
      <w:r>
        <w:rPr>
          <w:color w:val="5A5A5A"/>
          <w:sz w:val="20"/>
        </w:rPr>
        <w:t>Revision: Rev A | Date: 14 Jan 2029</w:t>
      </w:r>
    </w:p>
    <w:p/>
    <w:p>
      <w:pPr>
        <w:pStyle w:val="Heading1"/>
      </w:pPr>
      <w:r>
        <w:t>1. Transition Objective</w:t>
      </w:r>
    </w:p>
    <w:p>
      <w:pPr>
        <w:spacing w:after="120" w:line="276" w:lineRule="auto"/>
      </w:pPr>
      <w:r>
        <w:rPr>
          <w:rFonts w:ascii="Arial" w:hAnsi="Arial"/>
          <w:sz w:val="21"/>
        </w:rPr>
        <w:t>This plan governs the supplier transition for processor module RPM-4402 under the Ember Reach Radar Processing Module Procurement. Following trade study and source selection activities, Summit Circuits was identified as the preferred best-value source for upcoming lots. The plan defines the steps required to shift from the incumbent path while preserving technical performance, schedule confidence, and data-package continuity.</w:t>
      </w:r>
    </w:p>
    <w:p>
      <w:pPr>
        <w:spacing w:after="120" w:line="276" w:lineRule="auto"/>
      </w:pPr>
      <w:r>
        <w:rPr>
          <w:rFonts w:ascii="Arial" w:hAnsi="Arial"/>
          <w:sz w:val="21"/>
        </w:rPr>
        <w:t>The transition is not a simple reorder. The supply base attached to substrate SUB-7 had become increasingly risky and no longer aligned with desired lead times. Transition success therefore depends on manufacturing readiness, first article discipline, and fast closure of any thermal or packaging findings.</w:t>
      </w:r>
    </w:p>
    <w:p>
      <w:pPr>
        <w:pStyle w:val="Heading1"/>
      </w:pPr>
      <w:r>
        <w:t>2. Transition Phases</w:t>
      </w:r>
    </w:p>
    <w:p>
      <w:pPr>
        <w:spacing w:after="120" w:line="276" w:lineRule="auto"/>
      </w:pPr>
      <w:r>
        <w:rPr>
          <w:rFonts w:ascii="Arial" w:hAnsi="Arial"/>
          <w:sz w:val="21"/>
        </w:rPr>
        <w:t>Phase A covers source qualification data review and drawing/interface confirmation. Phase B covers tooling and first article hardware release. Phase C covers first article test and corrective action closure. Phase D covers production readiness and operational readiness review. Each phase has an explicit exit gate to avoid declaring the transition complete before hardware evidence exists.</w:t>
      </w:r>
    </w:p>
    <w:p>
      <w:pPr>
        <w:spacing w:after="120" w:line="276" w:lineRule="auto"/>
      </w:pPr>
      <w:r>
        <w:rPr>
          <w:rFonts w:ascii="Arial" w:hAnsi="Arial"/>
          <w:sz w:val="21"/>
        </w:rPr>
        <w:t>The plan originally aligned operational readiness review to 11 Apr 2029. Because first article findings were expected to inform final readiness posture, the plan also reserved schedule space for corrective action if required.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4F81BD"/>
          </w:tcPr>
          <w:p>
            <w:r>
              <w:rPr>
                <w:rFonts w:ascii="Arial" w:hAnsi="Arial"/>
                <w:b/>
                <w:color w:val="FFFFFF"/>
                <w:sz w:val="19"/>
              </w:rPr>
              <w:t>Phase</w:t>
            </w:r>
          </w:p>
        </w:tc>
        <w:tc>
          <w:tcPr>
            <w:tcW w:type="dxa" w:w="3312"/>
            <w:vAlign w:val="center"/>
            <w:shd w:fill="4F81BD"/>
          </w:tcPr>
          <w:p>
            <w:r>
              <w:rPr>
                <w:rFonts w:ascii="Arial" w:hAnsi="Arial"/>
                <w:b/>
                <w:color w:val="FFFFFF"/>
                <w:sz w:val="19"/>
              </w:rPr>
              <w:t>Key Output</w:t>
            </w:r>
          </w:p>
        </w:tc>
        <w:tc>
          <w:tcPr>
            <w:tcW w:type="dxa" w:w="3312"/>
            <w:vAlign w:val="center"/>
            <w:shd w:fill="4F81BD"/>
          </w:tcPr>
          <w:p>
            <w:r>
              <w:rPr>
                <w:rFonts w:ascii="Arial" w:hAnsi="Arial"/>
                <w:b/>
                <w:color w:val="FFFFFF"/>
                <w:sz w:val="19"/>
              </w:rPr>
              <w:t>Exit Gate</w:t>
            </w:r>
          </w:p>
        </w:tc>
      </w:tr>
      <w:tr>
        <w:tc>
          <w:tcPr>
            <w:tcW w:type="dxa" w:w="3312"/>
            <w:vAlign w:val="center"/>
          </w:tcPr>
          <w:p>
            <w:r>
              <w:rPr>
                <w:rFonts w:ascii="Arial" w:hAnsi="Arial"/>
                <w:sz w:val="19"/>
              </w:rPr>
              <w:t>A: Qualification review</w:t>
            </w:r>
          </w:p>
        </w:tc>
        <w:tc>
          <w:tcPr>
            <w:tcW w:type="dxa" w:w="3312"/>
            <w:vAlign w:val="center"/>
          </w:tcPr>
          <w:p>
            <w:r>
              <w:rPr>
                <w:rFonts w:ascii="Arial" w:hAnsi="Arial"/>
                <w:sz w:val="19"/>
              </w:rPr>
              <w:t>Accepted source data package</w:t>
            </w:r>
          </w:p>
        </w:tc>
        <w:tc>
          <w:tcPr>
            <w:tcW w:type="dxa" w:w="3312"/>
            <w:vAlign w:val="center"/>
          </w:tcPr>
          <w:p>
            <w:r>
              <w:rPr>
                <w:rFonts w:ascii="Arial" w:hAnsi="Arial"/>
                <w:sz w:val="19"/>
              </w:rPr>
              <w:t>No critical documentation gaps</w:t>
            </w:r>
          </w:p>
        </w:tc>
      </w:tr>
      <w:tr>
        <w:tc>
          <w:tcPr>
            <w:tcW w:type="dxa" w:w="3312"/>
            <w:vAlign w:val="center"/>
          </w:tcPr>
          <w:p>
            <w:r>
              <w:rPr>
                <w:rFonts w:ascii="Arial" w:hAnsi="Arial"/>
                <w:sz w:val="19"/>
              </w:rPr>
              <w:t>B: Tooling / first article</w:t>
            </w:r>
          </w:p>
        </w:tc>
        <w:tc>
          <w:tcPr>
            <w:tcW w:type="dxa" w:w="3312"/>
            <w:vAlign w:val="center"/>
          </w:tcPr>
          <w:p>
            <w:r>
              <w:rPr>
                <w:rFonts w:ascii="Arial" w:hAnsi="Arial"/>
                <w:sz w:val="19"/>
              </w:rPr>
              <w:t>Released first article hardware</w:t>
            </w:r>
          </w:p>
        </w:tc>
        <w:tc>
          <w:tcPr>
            <w:tcW w:type="dxa" w:w="3312"/>
            <w:vAlign w:val="center"/>
          </w:tcPr>
          <w:p>
            <w:r>
              <w:rPr>
                <w:rFonts w:ascii="Arial" w:hAnsi="Arial"/>
                <w:sz w:val="19"/>
              </w:rPr>
              <w:t>Tooling and traveler approved</w:t>
            </w:r>
          </w:p>
        </w:tc>
      </w:tr>
      <w:tr>
        <w:tc>
          <w:tcPr>
            <w:tcW w:type="dxa" w:w="3312"/>
            <w:vAlign w:val="center"/>
          </w:tcPr>
          <w:p>
            <w:r>
              <w:rPr>
                <w:rFonts w:ascii="Arial" w:hAnsi="Arial"/>
                <w:sz w:val="19"/>
              </w:rPr>
              <w:t>C: FAT and CAR closure</w:t>
            </w:r>
          </w:p>
        </w:tc>
        <w:tc>
          <w:tcPr>
            <w:tcW w:type="dxa" w:w="3312"/>
            <w:vAlign w:val="center"/>
          </w:tcPr>
          <w:p>
            <w:r>
              <w:rPr>
                <w:rFonts w:ascii="Arial" w:hAnsi="Arial"/>
                <w:sz w:val="19"/>
              </w:rPr>
              <w:t>Verified test results</w:t>
            </w:r>
          </w:p>
        </w:tc>
        <w:tc>
          <w:tcPr>
            <w:tcW w:type="dxa" w:w="3312"/>
            <w:vAlign w:val="center"/>
          </w:tcPr>
          <w:p>
            <w:r>
              <w:rPr>
                <w:rFonts w:ascii="Arial" w:hAnsi="Arial"/>
                <w:sz w:val="19"/>
              </w:rPr>
              <w:t>Major findings closed or dispositioned</w:t>
            </w:r>
          </w:p>
        </w:tc>
      </w:tr>
      <w:tr>
        <w:tc>
          <w:tcPr>
            <w:tcW w:type="dxa" w:w="3312"/>
            <w:vAlign w:val="center"/>
          </w:tcPr>
          <w:p>
            <w:r>
              <w:rPr>
                <w:rFonts w:ascii="Arial" w:hAnsi="Arial"/>
                <w:sz w:val="19"/>
              </w:rPr>
              <w:t>D: Production readiness</w:t>
            </w:r>
          </w:p>
        </w:tc>
        <w:tc>
          <w:tcPr>
            <w:tcW w:type="dxa" w:w="3312"/>
            <w:vAlign w:val="center"/>
          </w:tcPr>
          <w:p>
            <w:r>
              <w:rPr>
                <w:rFonts w:ascii="Arial" w:hAnsi="Arial"/>
                <w:sz w:val="19"/>
              </w:rPr>
              <w:t>ORR package</w:t>
            </w:r>
          </w:p>
        </w:tc>
        <w:tc>
          <w:tcPr>
            <w:tcW w:type="dxa" w:w="3312"/>
            <w:vAlign w:val="center"/>
          </w:tcPr>
          <w:p>
            <w:r>
              <w:rPr>
                <w:rFonts w:ascii="Arial" w:hAnsi="Arial"/>
                <w:sz w:val="19"/>
              </w:rPr>
              <w:t>Board acceptance</w:t>
            </w:r>
          </w:p>
        </w:tc>
      </w:tr>
    </w:tbl>
    <w:p/>
    <w:p>
      <w:pPr>
        <w:pStyle w:val="Heading1"/>
      </w:pPr>
      <w:r>
        <w:t>3. Risk and Corrective Action Strategy</w:t>
      </w:r>
    </w:p>
    <w:p>
      <w:pPr>
        <w:spacing w:after="120" w:line="276" w:lineRule="auto"/>
      </w:pPr>
      <w:r>
        <w:rPr>
          <w:rFonts w:ascii="Arial" w:hAnsi="Arial"/>
          <w:sz w:val="21"/>
        </w:rPr>
        <w:t>The principal near-term technical concern is heat spreader behavior associated with HSK-12. The program selected Summit Circuits with awareness of this risk because the overall value case remained strong. The plan therefore requires a quick-turn engineering path to adopt HSK-12B if first article evidence indicates the baseline spreader is insufficient.</w:t>
      </w:r>
    </w:p>
    <w:p>
      <w:pPr>
        <w:spacing w:after="120" w:line="276" w:lineRule="auto"/>
      </w:pPr>
      <w:r>
        <w:rPr>
          <w:rFonts w:ascii="Arial" w:hAnsi="Arial"/>
          <w:sz w:val="21"/>
        </w:rPr>
        <w:t>Schedule and business risks include long-lead packaging material, documentation latency, and overconfidence in transfer learning from the incumbent. The program will manage those risks through weekly readiness reviews and explicit lot-start decision gates.</w:t>
      </w:r>
    </w:p>
    <w:p>
      <w:pPr>
        <w:pStyle w:val="Heading1"/>
      </w:pPr>
      <w:r>
        <w:t>4. Schedule Alignment</w:t>
      </w:r>
    </w:p>
    <w:p>
      <w:pPr>
        <w:spacing w:after="120" w:line="276" w:lineRule="auto"/>
      </w:pPr>
      <w:r>
        <w:rPr>
          <w:rFonts w:ascii="Arial" w:hAnsi="Arial"/>
          <w:sz w:val="21"/>
        </w:rPr>
        <w:t>Following first article execution and corrective action disposition, the current program target for ORR moved to 09 May 2029. This was treated as a prudent adjustment rather than a failure of the source-selection logic. The later date better aligns evidence, documentation, and production readiness.</w:t>
      </w:r>
    </w:p>
    <w:p>
      <w:pPr>
        <w:spacing w:after="120" w:line="276" w:lineRule="auto"/>
      </w:pPr>
      <w:r>
        <w:rPr>
          <w:rFonts w:ascii="Arial" w:hAnsi="Arial"/>
          <w:sz w:val="21"/>
        </w:rPr>
        <w:t>This distinction matters for analysis. A user may ask whether the supplier change was a mistake because the milestone moved. The better answer is that the program selected the best overall source but still had to work through a real first article issue in a disciplined way.</w:t>
      </w:r>
    </w:p>
    <w:p>
      <w:pPr>
        <w:pStyle w:val="Heading1"/>
      </w:pPr>
      <w:r>
        <w:t>5. Governance and Communications</w:t>
      </w:r>
    </w:p>
    <w:p>
      <w:pPr>
        <w:spacing w:after="120" w:line="276" w:lineRule="auto"/>
      </w:pPr>
      <w:r>
        <w:rPr>
          <w:rFonts w:ascii="Arial" w:hAnsi="Arial"/>
          <w:sz w:val="21"/>
        </w:rPr>
        <w:t>Engineering, supply chain, quality, and program controls shall maintain a single integrated transition board. Similar supplier names elsewhere in the corpus—notably Halcyon Foundry on Trident Echo—shall not be confused with Halcyon Microdevices in this procurement. Reports shall use full names and program identifiers to avoid false joins in data systems.</w:t>
      </w:r>
    </w:p>
    <w:p>
      <w:pPr>
        <w:pStyle w:val="Heading1"/>
      </w:pPr>
      <w:r>
        <w:t>Appendix A. Dependencies and Interfaces</w:t>
      </w:r>
    </w:p>
    <w:p>
      <w:pPr>
        <w:spacing w:after="120" w:line="276" w:lineRule="auto"/>
      </w:pPr>
      <w:r>
        <w:rPr>
          <w:rFonts w:ascii="Arial" w:hAnsi="Arial"/>
          <w:sz w:val="21"/>
        </w:rPr>
        <w:t>This document sits inside a broader execution thread for Ember Reach Radar Processing Module Procurement under contract SYN-RD-29-3324. Readers should expect related information to appear in planning notes, workbooks, meeting records, and other formal reports. The program office intentionally distributes truth across those artifacts: schedules tend to be most explicit in workbooks, supplier obligations are often clearest in statements of work or proposals, and causal explanations may appear first in draft notes before they are restated in a controlled format.</w:t>
      </w:r>
    </w:p>
    <w:p>
      <w:pPr>
        <w:spacing w:after="120" w:line="276" w:lineRule="auto"/>
      </w:pPr>
      <w:r>
        <w:rPr>
          <w:rFonts w:ascii="Arial" w:hAnsi="Arial"/>
          <w:sz w:val="21"/>
        </w:rPr>
        <w:t>Key interfaces in this program include the prime organization Ember Reach Systems, suppliers such as Summit Circuits, Helion Micro Devices, and execution sites including Sage Canyon Electronics Center and Falcon Ridge Thermal Lab. Similar entity names also appear elsewhere in the corpus, so analysts should use program context rather than string similarity alone when joining evidence.</w:t>
      </w:r>
    </w:p>
    <w:p>
      <w:pPr>
        <w:pStyle w:val="Heading1"/>
      </w:pPr>
      <w:r>
        <w:t>Appendix B. Assumptions and Management Attention Items</w:t>
      </w:r>
    </w:p>
    <w:p>
      <w:pPr>
        <w:spacing w:after="120" w:line="276" w:lineRule="auto"/>
      </w:pPr>
      <w:r>
        <w:rPr>
          <w:rFonts w:ascii="Arial" w:hAnsi="Arial"/>
          <w:sz w:val="21"/>
        </w:rPr>
        <w:t>Management assumptions embedded in this document include stable access to facilities, timely review cycles, and disciplined change control. If any of those assumptions erode, the resulting schedule or cost impact may appear first in the associated workbook rather than in a revised narrative. This is a normal feature of program execution and is deliberately represented here to create realistic retrieval conditions.</w:t>
      </w:r>
    </w:p>
    <w:p>
      <w:pPr>
        <w:spacing w:after="120" w:line="276" w:lineRule="auto"/>
      </w:pPr>
      <w:r>
        <w:rPr>
          <w:rFonts w:ascii="Arial" w:hAnsi="Arial"/>
          <w:sz w:val="21"/>
        </w:rPr>
        <w:t>Leadership attention is focused on maintaining internal consistency across technical, schedule, supplier, and financial reporting. A document that looks authoritative but still carries superseded dates or draft estimates should be interpreted carefully. Users evaluating a RAG system should therefore expect some questions to require choosing the latest controlled source rather than the most verbose source.</w:t>
      </w:r>
    </w:p>
    <w:p>
      <w:pPr>
        <w:pStyle w:val="Heading1"/>
      </w:pPr>
      <w:r>
        <w:t>Appendix C. Referenced or Related Artifacts</w:t>
      </w:r>
    </w:p>
    <w:p>
      <w:pPr>
        <w:spacing w:after="120" w:line="276" w:lineRule="auto"/>
      </w:pPr>
      <w:r>
        <w:rPr>
          <w:rFonts w:ascii="Arial" w:hAnsi="Arial"/>
          <w:sz w:val="21"/>
        </w:rPr>
        <w:t>Related artifacts include narrative notes, financial or schedule workbooks, and supplier-facing packages. Some questions can be answered from this file alone; others require cross-document synthesis, for example linking a milestone move to a supplier issue, or connecting a requirement threshold to a later test result. That cross-reference burden is intentional and is one of the main design goals of the corpus.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