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Harbor Scribe Steering Group Minutes</w:t>
        <w:br/>
      </w:r>
      <w:r>
        <w:rPr>
          <w:i/>
          <w:color w:val="464646"/>
          <w:sz w:val="22"/>
        </w:rPr>
        <w:t>Pilot readiness and rollout governance</w:t>
        <w:br/>
      </w:r>
      <w:r>
        <w:rPr>
          <w:color w:val="5A5A5A"/>
          <w:sz w:val="20"/>
        </w:rPr>
        <w:t>Revision: Minutes v1.0 | Date: 27 May 2028</w:t>
      </w:r>
    </w:p>
    <w:p/>
    <w:p>
      <w:pPr>
        <w:pStyle w:val="Heading1"/>
      </w:pPr>
      <w:r>
        <w:t>1. Meeting Overview</w:t>
      </w:r>
    </w:p>
    <w:p>
      <w:pPr>
        <w:spacing w:after="120" w:line="276" w:lineRule="auto"/>
      </w:pPr>
      <w:r>
        <w:rPr>
          <w:rFonts w:ascii="Arial" w:hAnsi="Arial"/>
          <w:sz w:val="21"/>
        </w:rPr>
        <w:t>The Harbor Scribe steering group met to review pilot readiness, network dependencies, training design, and early performance metrics. Attendees included depot operations, cybersecurity, training leads, and supplier support representatives. The discussion intentionally balanced readiness concerns against visible process gains so the group would not reduce the decision to a single yes/no question.</w:t>
      </w:r>
    </w:p>
    <w:p>
      <w:pPr>
        <w:spacing w:after="120" w:line="276" w:lineRule="auto"/>
      </w:pPr>
      <w:r>
        <w:rPr>
          <w:rFonts w:ascii="Arial" w:hAnsi="Arial"/>
          <w:sz w:val="21"/>
        </w:rPr>
        <w:t>At the time of the meeting, the pilot transition was still carried against 22 Jul 2028 even though multiple members expected movement. The meeting's purpose was to decide whether maintaining the old date preserved value or merely preserved appearances.</w:t>
      </w:r>
    </w:p>
    <w:p>
      <w:pPr>
        <w:pStyle w:val="Heading1"/>
      </w:pPr>
      <w:r>
        <w:t>2. Decisions and Discussion</w:t>
      </w:r>
    </w:p>
    <w:p>
      <w:pPr>
        <w:spacing w:after="120" w:line="276" w:lineRule="auto"/>
      </w:pPr>
      <w:r>
        <w:rPr>
          <w:rFonts w:ascii="Arial" w:hAnsi="Arial"/>
          <w:sz w:val="21"/>
        </w:rPr>
        <w:t>Cybersecurity reported that network segmentation review remained open. Operations acknowledged that pushing ahead without closure would create manual workarounds and undermine user confidence. Training leads reported that first-shift adoption was improving but second-shift confidence remained uneven. Depot leadership emphasized that an orderly launch after a short delay would be preferable to an on-time launch that required paper fallbacks in the highest-traffic areas.</w:t>
      </w:r>
    </w:p>
    <w:p>
      <w:pPr>
        <w:spacing w:after="120" w:line="276" w:lineRule="auto"/>
      </w:pPr>
      <w:r>
        <w:rPr>
          <w:rFonts w:ascii="Arial" w:hAnsi="Arial"/>
          <w:sz w:val="21"/>
        </w:rPr>
        <w:t>Quality and performance slides showed encouraging throughput trends, with backlog age in digitized areas declining from about 18.2 days toward values near 11.6 days. The steering group agreed that these gains justified continued investment even though the pilot date needed reconsideration.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F81BD"/>
          </w:tcPr>
          <w:p>
            <w:r>
              <w:rPr>
                <w:rFonts w:ascii="Arial" w:hAnsi="Arial"/>
                <w:b/>
                <w:color w:val="FFFFFF"/>
                <w:sz w:val="19"/>
              </w:rPr>
              <w:t>Topic</w:t>
            </w:r>
          </w:p>
        </w:tc>
        <w:tc>
          <w:tcPr>
            <w:tcW w:type="dxa" w:w="4968"/>
            <w:vAlign w:val="center"/>
            <w:shd w:fill="4F81BD"/>
          </w:tcPr>
          <w:p>
            <w:r>
              <w:rPr>
                <w:rFonts w:ascii="Arial" w:hAnsi="Arial"/>
                <w:b/>
                <w:color w:val="FFFFFF"/>
                <w:sz w:val="19"/>
              </w:rPr>
              <w:t>Decision / Observation</w:t>
            </w:r>
          </w:p>
        </w:tc>
      </w:tr>
      <w:tr>
        <w:tc>
          <w:tcPr>
            <w:tcW w:type="dxa" w:w="4968"/>
            <w:vAlign w:val="center"/>
          </w:tcPr>
          <w:p>
            <w:r>
              <w:rPr>
                <w:rFonts w:ascii="Arial" w:hAnsi="Arial"/>
                <w:sz w:val="19"/>
              </w:rPr>
              <w:t>Network segmentation</w:t>
            </w:r>
          </w:p>
        </w:tc>
        <w:tc>
          <w:tcPr>
            <w:tcW w:type="dxa" w:w="4968"/>
            <w:vAlign w:val="center"/>
          </w:tcPr>
          <w:p>
            <w:r>
              <w:rPr>
                <w:rFonts w:ascii="Arial" w:hAnsi="Arial"/>
                <w:sz w:val="19"/>
              </w:rPr>
              <w:t>Remain as gate; do not waive</w:t>
            </w:r>
          </w:p>
        </w:tc>
      </w:tr>
      <w:tr>
        <w:tc>
          <w:tcPr>
            <w:tcW w:type="dxa" w:w="4968"/>
            <w:vAlign w:val="center"/>
          </w:tcPr>
          <w:p>
            <w:r>
              <w:rPr>
                <w:rFonts w:ascii="Arial" w:hAnsi="Arial"/>
                <w:sz w:val="19"/>
              </w:rPr>
              <w:t>Training</w:t>
            </w:r>
          </w:p>
        </w:tc>
        <w:tc>
          <w:tcPr>
            <w:tcW w:type="dxa" w:w="4968"/>
            <w:vAlign w:val="center"/>
          </w:tcPr>
          <w:p>
            <w:r>
              <w:rPr>
                <w:rFonts w:ascii="Arial" w:hAnsi="Arial"/>
                <w:sz w:val="19"/>
              </w:rPr>
              <w:t>Add refresher support, especially second shift</w:t>
            </w:r>
          </w:p>
        </w:tc>
      </w:tr>
      <w:tr>
        <w:tc>
          <w:tcPr>
            <w:tcW w:type="dxa" w:w="4968"/>
            <w:vAlign w:val="center"/>
          </w:tcPr>
          <w:p>
            <w:r>
              <w:rPr>
                <w:rFonts w:ascii="Arial" w:hAnsi="Arial"/>
                <w:sz w:val="19"/>
              </w:rPr>
              <w:t>Pilot timing</w:t>
            </w:r>
          </w:p>
        </w:tc>
        <w:tc>
          <w:tcPr>
            <w:tcW w:type="dxa" w:w="4968"/>
            <w:vAlign w:val="center"/>
          </w:tcPr>
          <w:p>
            <w:r>
              <w:rPr>
                <w:rFonts w:ascii="Arial" w:hAnsi="Arial"/>
                <w:sz w:val="19"/>
              </w:rPr>
              <w:t>Permit controlled move if readiness not complete</w:t>
            </w:r>
          </w:p>
        </w:tc>
      </w:tr>
      <w:tr>
        <w:tc>
          <w:tcPr>
            <w:tcW w:type="dxa" w:w="4968"/>
            <w:vAlign w:val="center"/>
          </w:tcPr>
          <w:p>
            <w:r>
              <w:rPr>
                <w:rFonts w:ascii="Arial" w:hAnsi="Arial"/>
                <w:sz w:val="19"/>
              </w:rPr>
              <w:t>Performance trend</w:t>
            </w:r>
          </w:p>
        </w:tc>
        <w:tc>
          <w:tcPr>
            <w:tcW w:type="dxa" w:w="4968"/>
            <w:vAlign w:val="center"/>
          </w:tcPr>
          <w:p>
            <w:r>
              <w:rPr>
                <w:rFonts w:ascii="Arial" w:hAnsi="Arial"/>
                <w:sz w:val="19"/>
              </w:rPr>
              <w:t>Backlog age improving in digitized flow</w:t>
            </w:r>
          </w:p>
        </w:tc>
      </w:tr>
    </w:tbl>
    <w:p/>
    <w:p>
      <w:pPr>
        <w:pStyle w:val="Heading1"/>
      </w:pPr>
      <w:r>
        <w:t>3. Action Items</w:t>
      </w:r>
    </w:p>
    <w:p>
      <w:pPr>
        <w:spacing w:after="120" w:line="276" w:lineRule="auto"/>
      </w:pPr>
      <w:r>
        <w:rPr>
          <w:rFonts w:ascii="Arial" w:hAnsi="Arial"/>
          <w:sz w:val="21"/>
        </w:rPr>
        <w:t>The steering group assigned actions to complete site survey validation, finalize revised training materials, and prepare an updated rollout baseline in the workbook. Lattice Harbor Software was asked to support dashboard refinement. Depot operations agreed to identify champions in each shop to reduce reversion to paper notes when scanners misread labels.</w:t>
      </w:r>
    </w:p>
    <w:p>
      <w:pPr>
        <w:pStyle w:val="Heading1"/>
      </w:pPr>
      <w:r>
        <w:t>4. Interpretation</w:t>
      </w:r>
    </w:p>
    <w:p>
      <w:pPr>
        <w:spacing w:after="120" w:line="276" w:lineRule="auto"/>
      </w:pPr>
      <w:r>
        <w:rPr>
          <w:rFonts w:ascii="Arial" w:hAnsi="Arial"/>
          <w:sz w:val="21"/>
        </w:rPr>
        <w:t>These minutes matter because they show that the later movement to 19 Aug 2028 was not driven only by cybersecurity. Training quality, user confidence, and readiness discipline were part of the decision. A RAG system focused solely on network terminology would miss that broader rationale.</w:t>
      </w:r>
    </w:p>
    <w:p>
      <w:pPr>
        <w:pStyle w:val="Heading1"/>
      </w:pPr>
      <w:r>
        <w:t>Appendix A. Dependencies and Interfaces</w:t>
      </w:r>
    </w:p>
    <w:p>
      <w:pPr>
        <w:spacing w:after="120" w:line="276" w:lineRule="auto"/>
      </w:pPr>
      <w:r>
        <w:rPr>
          <w:rFonts w:ascii="Arial" w:hAnsi="Arial"/>
          <w:sz w:val="21"/>
        </w:rPr>
        <w:t>This document sits inside a broader execution thread for Harbor Scribe Depot Maintenance Digitization under contract SYN-DM-28-5602.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Harbor Scribe Solutions, suppliers such as Lattice Harbor Software, Docklight Analytics, and execution sites including Redstone Depot and Paint Barn 2.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