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646464"/>
          <w:sz w:val="20"/>
        </w:rPr>
        <w:t>UNCLASSIFIED // SYNTHETIC TEST DATA</w:t>
        <w:br/>
      </w:r>
      <w:r>
        <w:rPr>
          <w:rFonts w:ascii="Arial" w:hAnsi="Arial"/>
          <w:b/>
          <w:color w:val="22365D"/>
          <w:sz w:val="36"/>
        </w:rPr>
        <w:t>Supplier Proposal: Cooling Retrofit Concept</w:t>
        <w:br/>
      </w:r>
      <w:r>
        <w:rPr>
          <w:i/>
          <w:color w:val="464646"/>
          <w:sz w:val="22"/>
        </w:rPr>
        <w:t>Aegis Mobility Works response package</w:t>
        <w:br/>
      </w:r>
      <w:r>
        <w:rPr>
          <w:color w:val="5A5A5A"/>
          <w:sz w:val="20"/>
        </w:rPr>
        <w:t>Revision: Proposal Rev A | Date: 12 Dec 2028</w:t>
      </w:r>
    </w:p>
    <w:p/>
    <w:p>
      <w:pPr>
        <w:pStyle w:val="Heading1"/>
      </w:pPr>
      <w:r>
        <w:t>1. Executive Summary</w:t>
      </w:r>
    </w:p>
    <w:p>
      <w:pPr>
        <w:spacing w:after="120" w:line="276" w:lineRule="auto"/>
      </w:pPr>
      <w:r>
        <w:rPr>
          <w:rFonts w:ascii="Arial" w:hAnsi="Arial"/>
          <w:sz w:val="21"/>
        </w:rPr>
        <w:t>Aegis Mobility Works submits this proposal in response to the Blackridge Mobility Systems request for a cooling-path retrofit concept for the Iron Vale Autonomous Ground Vehicle Integration vehicles. Our recommended approach replaces the existing SHD-18 inlet geometry with a reinforced debris-relief shroud, updates mounting provisions to simplify field retrofit, and introduces a revised calibration set for fan controller FC-9A to engage cooling earlier under high-dust conditions. The proposal is written as a supplier response, not a definitive design authority document, but it is intended to be sufficiently mature for near-term implementation planning.</w:t>
      </w:r>
    </w:p>
    <w:p>
      <w:pPr>
        <w:spacing w:after="120" w:line="276" w:lineRule="auto"/>
      </w:pPr>
      <w:r>
        <w:rPr>
          <w:rFonts w:ascii="Arial" w:hAnsi="Arial"/>
          <w:sz w:val="21"/>
        </w:rPr>
        <w:t>We understand that the program must demonstrate endurance of at least 120 km with 85 percent mission completion and must protect the limited user test date. Our schedule and pricing are therefore structured around fast-turn prototype hardware followed by low-volume retrofit kits.</w:t>
      </w:r>
    </w:p>
    <w:p>
      <w:pPr>
        <w:pStyle w:val="Heading1"/>
      </w:pPr>
      <w:r>
        <w:t>2. Technical Approach</w:t>
      </w:r>
    </w:p>
    <w:p>
      <w:pPr>
        <w:spacing w:after="120" w:line="276" w:lineRule="auto"/>
      </w:pPr>
      <w:r>
        <w:rPr>
          <w:rFonts w:ascii="Arial" w:hAnsi="Arial"/>
          <w:sz w:val="21"/>
        </w:rPr>
        <w:t>The recommended shroud geometry enlarges the debris escape path, reduces the internal lip that traps fine dust, and preserves vehicle envelope compatibility with surrounding structure. We also recommend a software calibration update that commands fan controller FC-9A into an earlier cooling state when temperature rise rate indicates dust loading rather than simple ambient heat. We do not view the software change as a substitute for geometry change; it is a companion mitigation that improves robustness.</w:t>
      </w:r>
    </w:p>
    <w:p>
      <w:pPr>
        <w:spacing w:after="120" w:line="276" w:lineRule="auto"/>
      </w:pPr>
      <w:r>
        <w:rPr>
          <w:rFonts w:ascii="Arial" w:hAnsi="Arial"/>
          <w:sz w:val="21"/>
        </w:rPr>
        <w:t>The retrofit can be installed without replacing the primary compute tray. Installation labor is estimated at 6.5 hours per vehicle assuming standard access conditions. The concept is compatible with drive unit DPU-88 and navigation package NAV-TRX-42 as currently integrated. Aegis Mobility Works does not propose changes to the front suspension casting CR-12; we recognize that this issue exists on the program but treat it as outside the scope of the cooling retrofit unless separately directed.</w:t>
      </w:r>
    </w:p>
    <w:p>
      <w:pPr>
        <w:pStyle w:val="Heading1"/>
      </w:pPr>
      <w:r>
        <w:t>3. Schedule</w:t>
      </w:r>
    </w:p>
    <w:p>
      <w:pPr>
        <w:spacing w:after="120" w:line="276" w:lineRule="auto"/>
      </w:pPr>
      <w:r>
        <w:rPr>
          <w:rFonts w:ascii="Arial" w:hAnsi="Arial"/>
          <w:sz w:val="21"/>
        </w:rPr>
        <w:t>Our proposed lead time for prototype kits is twelve weeks after release of order and receipt of final interface data. We can support two rapid-fit prototype sets before full kit delivery if the program authorizes immediate tooling release. Because the program's current limited user test objective has already become schedule-sensitive, we recommend starting drawing finalization and vendor procurement in parallel with fit-check review rather than in strict sequence.</w:t>
      </w:r>
    </w:p>
    <w:p>
      <w:pPr>
        <w:spacing w:after="120" w:line="276" w:lineRule="auto"/>
      </w:pPr>
      <w:r>
        <w:rPr>
          <w:rFonts w:ascii="Arial" w:hAnsi="Arial"/>
          <w:sz w:val="21"/>
        </w:rPr>
        <w:t>The largest schedule risks under our proposal are late interface freezes, delayed access to test vehicles for fit-check, and any decision to expand scope into the CR-12 problem. None of these risks are unmanageable, but they should be called out explicitly so the program does not treat the twelve-week lead time as unconditional.</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4F81BD"/>
          </w:tcPr>
          <w:p>
            <w:r>
              <w:rPr>
                <w:rFonts w:ascii="Arial" w:hAnsi="Arial"/>
                <w:b/>
                <w:color w:val="FFFFFF"/>
                <w:sz w:val="19"/>
              </w:rPr>
              <w:t>Element</w:t>
            </w:r>
          </w:p>
        </w:tc>
        <w:tc>
          <w:tcPr>
            <w:tcW w:type="dxa" w:w="3312"/>
            <w:vAlign w:val="center"/>
            <w:shd w:fill="4F81BD"/>
          </w:tcPr>
          <w:p>
            <w:r>
              <w:rPr>
                <w:rFonts w:ascii="Arial" w:hAnsi="Arial"/>
                <w:b/>
                <w:color w:val="FFFFFF"/>
                <w:sz w:val="19"/>
              </w:rPr>
              <w:t>Value / Assumption</w:t>
            </w:r>
          </w:p>
        </w:tc>
        <w:tc>
          <w:tcPr>
            <w:tcW w:type="dxa" w:w="3312"/>
            <w:vAlign w:val="center"/>
            <w:shd w:fill="4F81BD"/>
          </w:tcPr>
          <w:p>
            <w:r>
              <w:rPr>
                <w:rFonts w:ascii="Arial" w:hAnsi="Arial"/>
                <w:b/>
                <w:color w:val="FFFFFF"/>
                <w:sz w:val="19"/>
              </w:rPr>
              <w:t>Comment</w:t>
            </w:r>
          </w:p>
        </w:tc>
      </w:tr>
      <w:tr>
        <w:tc>
          <w:tcPr>
            <w:tcW w:type="dxa" w:w="3312"/>
            <w:vAlign w:val="center"/>
          </w:tcPr>
          <w:p>
            <w:r>
              <w:rPr>
                <w:rFonts w:ascii="Arial" w:hAnsi="Arial"/>
                <w:sz w:val="19"/>
              </w:rPr>
              <w:t>Prototype kit lead time</w:t>
            </w:r>
          </w:p>
        </w:tc>
        <w:tc>
          <w:tcPr>
            <w:tcW w:type="dxa" w:w="3312"/>
            <w:vAlign w:val="center"/>
          </w:tcPr>
          <w:p>
            <w:r>
              <w:rPr>
                <w:rFonts w:ascii="Arial" w:hAnsi="Arial"/>
                <w:sz w:val="19"/>
              </w:rPr>
              <w:t>12 weeks</w:t>
            </w:r>
          </w:p>
        </w:tc>
        <w:tc>
          <w:tcPr>
            <w:tcW w:type="dxa" w:w="3312"/>
            <w:vAlign w:val="center"/>
          </w:tcPr>
          <w:p>
            <w:r>
              <w:rPr>
                <w:rFonts w:ascii="Arial" w:hAnsi="Arial"/>
                <w:sz w:val="19"/>
              </w:rPr>
              <w:t>After order release and interface freeze</w:t>
            </w:r>
          </w:p>
        </w:tc>
      </w:tr>
      <w:tr>
        <w:tc>
          <w:tcPr>
            <w:tcW w:type="dxa" w:w="3312"/>
            <w:vAlign w:val="center"/>
          </w:tcPr>
          <w:p>
            <w:r>
              <w:rPr>
                <w:rFonts w:ascii="Arial" w:hAnsi="Arial"/>
                <w:sz w:val="19"/>
              </w:rPr>
              <w:t>Install labor</w:t>
            </w:r>
          </w:p>
        </w:tc>
        <w:tc>
          <w:tcPr>
            <w:tcW w:type="dxa" w:w="3312"/>
            <w:vAlign w:val="center"/>
          </w:tcPr>
          <w:p>
            <w:r>
              <w:rPr>
                <w:rFonts w:ascii="Arial" w:hAnsi="Arial"/>
                <w:sz w:val="19"/>
              </w:rPr>
              <w:t>6.5 hours per vehicle</w:t>
            </w:r>
          </w:p>
        </w:tc>
        <w:tc>
          <w:tcPr>
            <w:tcW w:type="dxa" w:w="3312"/>
            <w:vAlign w:val="center"/>
          </w:tcPr>
          <w:p>
            <w:r>
              <w:rPr>
                <w:rFonts w:ascii="Arial" w:hAnsi="Arial"/>
                <w:sz w:val="19"/>
              </w:rPr>
              <w:t>Excludes unrelated repairs</w:t>
            </w:r>
          </w:p>
        </w:tc>
      </w:tr>
      <w:tr>
        <w:tc>
          <w:tcPr>
            <w:tcW w:type="dxa" w:w="3312"/>
            <w:vAlign w:val="center"/>
          </w:tcPr>
          <w:p>
            <w:r>
              <w:rPr>
                <w:rFonts w:ascii="Arial" w:hAnsi="Arial"/>
                <w:sz w:val="19"/>
              </w:rPr>
              <w:t>Thermal strategy</w:t>
            </w:r>
          </w:p>
        </w:tc>
        <w:tc>
          <w:tcPr>
            <w:tcW w:type="dxa" w:w="3312"/>
            <w:vAlign w:val="center"/>
          </w:tcPr>
          <w:p>
            <w:r>
              <w:rPr>
                <w:rFonts w:ascii="Arial" w:hAnsi="Arial"/>
                <w:sz w:val="19"/>
              </w:rPr>
              <w:t>Shroud geometry + controller calibration</w:t>
            </w:r>
          </w:p>
        </w:tc>
        <w:tc>
          <w:tcPr>
            <w:tcW w:type="dxa" w:w="3312"/>
            <w:vAlign w:val="center"/>
          </w:tcPr>
          <w:p>
            <w:r>
              <w:rPr>
                <w:rFonts w:ascii="Arial" w:hAnsi="Arial"/>
                <w:sz w:val="19"/>
              </w:rPr>
              <w:t>Best used as combined fix</w:t>
            </w:r>
          </w:p>
        </w:tc>
      </w:tr>
      <w:tr>
        <w:tc>
          <w:tcPr>
            <w:tcW w:type="dxa" w:w="3312"/>
            <w:vAlign w:val="center"/>
          </w:tcPr>
          <w:p>
            <w:r>
              <w:rPr>
                <w:rFonts w:ascii="Arial" w:hAnsi="Arial"/>
                <w:sz w:val="19"/>
              </w:rPr>
              <w:t>Snow / mud ingestion</w:t>
            </w:r>
          </w:p>
        </w:tc>
        <w:tc>
          <w:tcPr>
            <w:tcW w:type="dxa" w:w="3312"/>
            <w:vAlign w:val="center"/>
          </w:tcPr>
          <w:p>
            <w:r>
              <w:rPr>
                <w:rFonts w:ascii="Arial" w:hAnsi="Arial"/>
                <w:sz w:val="19"/>
              </w:rPr>
              <w:t>Not specifically tested in this proposal</w:t>
            </w:r>
          </w:p>
        </w:tc>
        <w:tc>
          <w:tcPr>
            <w:tcW w:type="dxa" w:w="3312"/>
            <w:vAlign w:val="center"/>
          </w:tcPr>
          <w:p>
            <w:r>
              <w:rPr>
                <w:rFonts w:ascii="Arial" w:hAnsi="Arial"/>
                <w:sz w:val="19"/>
              </w:rPr>
              <w:t>Would require separate assessment</w:t>
            </w:r>
          </w:p>
        </w:tc>
      </w:tr>
    </w:tbl>
    <w:p/>
    <w:p>
      <w:pPr>
        <w:pStyle w:val="Heading1"/>
      </w:pPr>
      <w:r>
        <w:t>4. Pricing</w:t>
      </w:r>
    </w:p>
    <w:p>
      <w:pPr>
        <w:spacing w:after="120" w:line="276" w:lineRule="auto"/>
      </w:pPr>
      <w:r>
        <w:rPr>
          <w:rFonts w:ascii="Arial" w:hAnsi="Arial"/>
          <w:sz w:val="21"/>
        </w:rPr>
        <w:t>Non-recurring engineering for the retrofit concept, prototype support, and drawing package is priced at $0.42M. Unit price for the production-representative kit is $18,600 per vehicle set, exclusive of taxes and freight. These values are synthetic but structured to feel like a real supplier response. The program may compare them against internal mitigation totals in the risk workbook, where related costs are grouped differently.</w:t>
      </w:r>
    </w:p>
    <w:p>
      <w:pPr>
        <w:spacing w:after="120" w:line="276" w:lineRule="auto"/>
      </w:pPr>
      <w:r>
        <w:rPr>
          <w:rFonts w:ascii="Arial" w:hAnsi="Arial"/>
          <w:sz w:val="21"/>
        </w:rPr>
        <w:t>Pricing assumes the buyer supplies current interface models, permits electronic data exchange without an additional security wrapper beyond the existing program portal, and does not require a complete environmental requalification campaign beyond delta-fit and thermal confirmation support.</w:t>
      </w:r>
    </w:p>
    <w:p>
      <w:pPr>
        <w:pStyle w:val="Heading1"/>
      </w:pPr>
      <w:r>
        <w:t>5. Exceptions and Assumptions</w:t>
      </w:r>
    </w:p>
    <w:p>
      <w:pPr>
        <w:spacing w:after="120" w:line="276" w:lineRule="auto"/>
      </w:pPr>
      <w:r>
        <w:rPr>
          <w:rFonts w:ascii="Arial" w:hAnsi="Arial"/>
          <w:sz w:val="21"/>
        </w:rPr>
        <w:t>Aegis Mobility Works assumes that vehicle software authority remains with the prime and that any controller calibration update will be reviewed and released by Blackridge Mobility Systems. We also assume that the cooling retrofit need not resolve every environmental condition the vehicle may encounter worldwide. Specifically, this proposal does not claim validated snow-ingestion performance and does not include a mud-packing test campaign unless separately purchased.</w:t>
      </w:r>
    </w:p>
    <w:p>
      <w:pPr>
        <w:spacing w:after="120" w:line="276" w:lineRule="auto"/>
      </w:pPr>
      <w:r>
        <w:rPr>
          <w:rFonts w:ascii="Arial" w:hAnsi="Arial"/>
          <w:sz w:val="21"/>
        </w:rPr>
        <w:t>This exception language is important for retrieval because later users may ask whether the supplier fully addressed the requirement set. The answer depends on whether the question concerns the immediate dust/heat problem or the broader envelope of all possible environments.</w:t>
      </w:r>
    </w:p>
    <w:p>
      <w:pPr>
        <w:pStyle w:val="Heading1"/>
      </w:pPr>
      <w:r>
        <w:t>6. Conclusion</w:t>
      </w:r>
    </w:p>
    <w:p>
      <w:pPr>
        <w:spacing w:after="120" w:line="276" w:lineRule="auto"/>
      </w:pPr>
      <w:r>
        <w:rPr>
          <w:rFonts w:ascii="Arial" w:hAnsi="Arial"/>
          <w:sz w:val="21"/>
        </w:rPr>
        <w:t>We believe this proposal offers the fastest practical path to recovering endurance performance while minimizing vehicle disassembly. The design is intentionally conservative, emphasizing quick manufacturing and retrofit practicality over speculative performance improvements. We are prepared to attend a working session within three business days of request.</w:t>
      </w:r>
    </w:p>
    <w:p>
      <w:pPr>
        <w:pStyle w:val="Heading1"/>
      </w:pPr>
      <w:r>
        <w:t>Appendix A. Dependencies and Interfaces</w:t>
      </w:r>
    </w:p>
    <w:p>
      <w:pPr>
        <w:spacing w:after="120" w:line="276" w:lineRule="auto"/>
      </w:pPr>
      <w:r>
        <w:rPr>
          <w:rFonts w:ascii="Arial" w:hAnsi="Arial"/>
          <w:sz w:val="21"/>
        </w:rPr>
        <w:t>This document sits inside a broader execution thread for Iron Vale Autonomous Ground Vehicle Integration under contract SYN-GV-28-2317. Readers should expect related information to appear in planning notes, workbooks, meeting records, and other formal reports. The program office intentionally distributes truth across those artifacts: schedules tend to be most explicit in workbooks, supplier obligations are often clearest in statements of work or proposals, and causal explanations may appear first in draft notes before they are restated in a controlled format.</w:t>
      </w:r>
    </w:p>
    <w:p>
      <w:pPr>
        <w:spacing w:after="120" w:line="276" w:lineRule="auto"/>
      </w:pPr>
      <w:r>
        <w:rPr>
          <w:rFonts w:ascii="Arial" w:hAnsi="Arial"/>
          <w:sz w:val="21"/>
        </w:rPr>
        <w:t>Key interfaces in this program include the prime organization Blackridge Mobility Systems, suppliers such as Aegis Mobility Works, High Mesa Dynamics, and execution sites including Cinder Flats Test Range and Blackridge Mobility Systems Integration Bay 3. Similar entity names also appear elsewhere in the corpus, so analysts should use program context rather than string similarity alone when joining evidence.</w:t>
      </w:r>
    </w:p>
    <w:p>
      <w:pPr>
        <w:pStyle w:val="Heading1"/>
      </w:pPr>
      <w:r>
        <w:t>Appendix B. Assumptions and Management Attention Items</w:t>
      </w:r>
    </w:p>
    <w:p>
      <w:pPr>
        <w:spacing w:after="120" w:line="276" w:lineRule="auto"/>
      </w:pPr>
      <w:r>
        <w:rPr>
          <w:rFonts w:ascii="Arial" w:hAnsi="Arial"/>
          <w:sz w:val="21"/>
        </w:rPr>
        <w:t>Management assumptions embedded in this document include stable access to facilities, timely review cycles, and disciplined change control. If any of those assumptions erode, the resulting schedule or cost impact may appear first in the associated workbook rather than in a revised narrative. This is a normal feature of program execution and is deliberately represented here to create realistic retrieval conditions.</w:t>
      </w:r>
    </w:p>
    <w:p>
      <w:pPr>
        <w:spacing w:after="120" w:line="276" w:lineRule="auto"/>
      </w:pPr>
      <w:r>
        <w:rPr>
          <w:rFonts w:ascii="Arial" w:hAnsi="Arial"/>
          <w:sz w:val="21"/>
        </w:rPr>
        <w:t>Leadership attention is focused on maintaining internal consistency across technical, schedule, supplier, and financial reporting. A document that looks authoritative but still carries superseded dates or draft estimates should be interpreted carefully. Users evaluating a RAG system should therefore expect some questions to require choosing the latest controlled source rather than the most verbose source.</w:t>
      </w:r>
    </w:p>
    <w:p>
      <w:pPr>
        <w:pStyle w:val="Heading1"/>
      </w:pPr>
      <w:r>
        <w:t>Appendix C. Referenced or Related Artifacts</w:t>
      </w:r>
    </w:p>
    <w:p>
      <w:pPr>
        <w:spacing w:after="120" w:line="276" w:lineRule="auto"/>
      </w:pPr>
      <w:r>
        <w:rPr>
          <w:rFonts w:ascii="Arial" w:hAnsi="Arial"/>
          <w:sz w:val="21"/>
        </w:rPr>
        <w:t>Related artifacts include narrative notes, financial or schedule workbooks, and supplier-facing packages. Some questions can be answered from this file alone; others require cross-document synthesis, for example linking a milestone move to a supplier issue, or connecting a requirement threshold to a later test result. That cross-reference burden is intentional and is one of the main design goals of the corpus.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