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46464"/>
          <w:sz w:val="20"/>
        </w:rPr>
        <w:t>UNCLASSIFIED // SYNTHETIC TEST DATA</w:t>
        <w:br/>
      </w:r>
      <w:r>
        <w:rPr>
          <w:rFonts w:ascii="Arial" w:hAnsi="Arial"/>
          <w:b/>
          <w:color w:val="22365D"/>
          <w:sz w:val="36"/>
        </w:rPr>
        <w:t>Trident Echo Supplier Statement of Work</w:t>
        <w:br/>
      </w:r>
      <w:r>
        <w:rPr>
          <w:i/>
          <w:color w:val="464646"/>
          <w:sz w:val="22"/>
        </w:rPr>
        <w:t>Pelagic Switchgear subtier execution package</w:t>
        <w:br/>
      </w:r>
      <w:r>
        <w:rPr>
          <w:color w:val="5A5A5A"/>
          <w:sz w:val="20"/>
        </w:rPr>
        <w:t>Revision: Rev A | Date: 24 May 2028</w:t>
      </w:r>
    </w:p>
    <w:p/>
    <w:p>
      <w:pPr>
        <w:pStyle w:val="Heading1"/>
      </w:pPr>
      <w:r>
        <w:t>1. Objective</w:t>
      </w:r>
    </w:p>
    <w:p>
      <w:pPr>
        <w:spacing w:after="120" w:line="276" w:lineRule="auto"/>
      </w:pPr>
      <w:r>
        <w:rPr>
          <w:rFonts w:ascii="Arial" w:hAnsi="Arial"/>
          <w:sz w:val="21"/>
        </w:rPr>
        <w:t>This statement of work defines the responsibilities of Pelagic Switchgear in support of the Trident Echo Naval Power Distribution Upgrade under prime contract SYN-NV-27-7740. Pelagic Switchgear shall provide manufacturing, assembly, inspection, and delivery support for elements of the PCU-17 power conversion and cabinet integration package associated with the shipboard distribution upgrade. The work supports a configuration-controlled naval hardware effort but is entirely fictional and marked for synthetic evaluation use only.</w:t>
      </w:r>
    </w:p>
    <w:p>
      <w:pPr>
        <w:spacing w:after="120" w:line="276" w:lineRule="auto"/>
      </w:pPr>
      <w:r>
        <w:rPr>
          <w:rFonts w:ascii="Arial" w:hAnsi="Arial"/>
          <w:sz w:val="21"/>
        </w:rPr>
        <w:t>The supplier's performance matters because Pelagic hardware intersects with the cabinet and bus structure experiencing factory constraints elsewhere in the program. The purpose of the SOW is therefore not only to define product content but also to define communication and recovery expectations when upstream hardware arrives late.</w:t>
      </w:r>
    </w:p>
    <w:p>
      <w:pPr>
        <w:pStyle w:val="Heading1"/>
      </w:pPr>
      <w:r>
        <w:t>2. Scope of Work</w:t>
      </w:r>
    </w:p>
    <w:p>
      <w:pPr>
        <w:spacing w:after="120" w:line="276" w:lineRule="auto"/>
      </w:pPr>
      <w:r>
        <w:rPr>
          <w:rFonts w:ascii="Arial" w:hAnsi="Arial"/>
          <w:sz w:val="21"/>
        </w:rPr>
        <w:t>Pelagic Switchgear shall assemble and deliver subcomponents associated with the PCU-17 package and support fit with the BCB-440 cabinet structure and BUS-9R distribution geometry. The supplier shall maintain drawing control, material traceability, torque records where applicable, and test/inspection evidence suitable for prime acceptance.</w:t>
      </w:r>
    </w:p>
    <w:p>
      <w:pPr>
        <w:spacing w:after="120" w:line="276" w:lineRule="auto"/>
      </w:pPr>
      <w:r>
        <w:rPr>
          <w:rFonts w:ascii="Arial" w:hAnsi="Arial"/>
          <w:sz w:val="21"/>
        </w:rPr>
        <w:t>Scope includes assembly planning, material control, fabrication of assigned subassemblies, performance of routine acceptance checks, packaging for shipyard transfer, and participation in readiness reviews when requested. Scope excludes ship installation, shock laboratory execution, and design-authority decisions outside released technical data.</w:t>
      </w:r>
    </w:p>
    <w:p>
      <w:pPr>
        <w:pStyle w:val="Heading1"/>
      </w:pPr>
      <w:r>
        <w:t>3. Technical and Quality Requirements</w:t>
      </w:r>
    </w:p>
    <w:p>
      <w:pPr>
        <w:spacing w:after="120" w:line="276" w:lineRule="auto"/>
      </w:pPr>
      <w:r>
        <w:rPr>
          <w:rFonts w:ascii="Arial" w:hAnsi="Arial"/>
          <w:sz w:val="21"/>
        </w:rPr>
        <w:t>Delivered hardware shall comply with applicable synthetic program requirements for workmanship, labeling, traceability, and electrical safety. The package shall be assembled to the current released technical baseline and any deviations shall be submitted for approval before implementation. Pelagic shall maintain serialized traceability where called for by drawing and shall preserve objective evidence of build and inspection activities.</w:t>
      </w:r>
    </w:p>
    <w:p>
      <w:pPr>
        <w:spacing w:after="120" w:line="276" w:lineRule="auto"/>
      </w:pPr>
      <w:r>
        <w:rPr>
          <w:rFonts w:ascii="Arial" w:hAnsi="Arial"/>
          <w:sz w:val="21"/>
        </w:rPr>
        <w:t>Cabinet interfaces shall be compatible with the BCB-440 arrangement released by Meridian Maritime Power. If upstream casting variability or bus bar timing threatens fit, Pelagic shall notify the buyer rather than making local modifications without authorization. Pelagic shall support IEEE-45-like shipboard considerations as referenced in the prime package even though all labels and program data here are fictional.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4F81BD"/>
          </w:tcPr>
          <w:p>
            <w:r>
              <w:rPr>
                <w:rFonts w:ascii="Arial" w:hAnsi="Arial"/>
                <w:b/>
                <w:color w:val="FFFFFF"/>
                <w:sz w:val="19"/>
              </w:rPr>
              <w:t>Requirement Area</w:t>
            </w:r>
          </w:p>
        </w:tc>
        <w:tc>
          <w:tcPr>
            <w:tcW w:type="dxa" w:w="4968"/>
            <w:vAlign w:val="center"/>
            <w:shd w:fill="4F81BD"/>
          </w:tcPr>
          <w:p>
            <w:r>
              <w:rPr>
                <w:rFonts w:ascii="Arial" w:hAnsi="Arial"/>
                <w:b/>
                <w:color w:val="FFFFFF"/>
                <w:sz w:val="19"/>
              </w:rPr>
              <w:t>Expectation</w:t>
            </w:r>
          </w:p>
        </w:tc>
      </w:tr>
      <w:tr>
        <w:tc>
          <w:tcPr>
            <w:tcW w:type="dxa" w:w="4968"/>
            <w:vAlign w:val="center"/>
          </w:tcPr>
          <w:p>
            <w:r>
              <w:rPr>
                <w:rFonts w:ascii="Arial" w:hAnsi="Arial"/>
                <w:sz w:val="19"/>
              </w:rPr>
              <w:t>Traceability</w:t>
            </w:r>
          </w:p>
        </w:tc>
        <w:tc>
          <w:tcPr>
            <w:tcW w:type="dxa" w:w="4968"/>
            <w:vAlign w:val="center"/>
          </w:tcPr>
          <w:p>
            <w:r>
              <w:rPr>
                <w:rFonts w:ascii="Arial" w:hAnsi="Arial"/>
                <w:sz w:val="19"/>
              </w:rPr>
              <w:t>Serialized where identified on drawing; traveler retained</w:t>
            </w:r>
          </w:p>
        </w:tc>
      </w:tr>
      <w:tr>
        <w:tc>
          <w:tcPr>
            <w:tcW w:type="dxa" w:w="4968"/>
            <w:vAlign w:val="center"/>
          </w:tcPr>
          <w:p>
            <w:r>
              <w:rPr>
                <w:rFonts w:ascii="Arial" w:hAnsi="Arial"/>
                <w:sz w:val="19"/>
              </w:rPr>
              <w:t>Workmanship</w:t>
            </w:r>
          </w:p>
        </w:tc>
        <w:tc>
          <w:tcPr>
            <w:tcW w:type="dxa" w:w="4968"/>
            <w:vAlign w:val="center"/>
          </w:tcPr>
          <w:p>
            <w:r>
              <w:rPr>
                <w:rFonts w:ascii="Arial" w:hAnsi="Arial"/>
                <w:sz w:val="19"/>
              </w:rPr>
              <w:t>No burrs, loose hardware, or unapproved rework</w:t>
            </w:r>
          </w:p>
        </w:tc>
      </w:tr>
      <w:tr>
        <w:tc>
          <w:tcPr>
            <w:tcW w:type="dxa" w:w="4968"/>
            <w:vAlign w:val="center"/>
          </w:tcPr>
          <w:p>
            <w:r>
              <w:rPr>
                <w:rFonts w:ascii="Arial" w:hAnsi="Arial"/>
                <w:sz w:val="19"/>
              </w:rPr>
              <w:t>Data package</w:t>
            </w:r>
          </w:p>
        </w:tc>
        <w:tc>
          <w:tcPr>
            <w:tcW w:type="dxa" w:w="4968"/>
            <w:vAlign w:val="center"/>
          </w:tcPr>
          <w:p>
            <w:r>
              <w:rPr>
                <w:rFonts w:ascii="Arial" w:hAnsi="Arial"/>
                <w:sz w:val="19"/>
              </w:rPr>
              <w:t>Inspection records, torque logs, CoC</w:t>
            </w:r>
          </w:p>
        </w:tc>
      </w:tr>
      <w:tr>
        <w:tc>
          <w:tcPr>
            <w:tcW w:type="dxa" w:w="4968"/>
            <w:vAlign w:val="center"/>
          </w:tcPr>
          <w:p>
            <w:r>
              <w:rPr>
                <w:rFonts w:ascii="Arial" w:hAnsi="Arial"/>
                <w:sz w:val="19"/>
              </w:rPr>
              <w:t>Communication</w:t>
            </w:r>
          </w:p>
        </w:tc>
        <w:tc>
          <w:tcPr>
            <w:tcW w:type="dxa" w:w="4968"/>
            <w:vAlign w:val="center"/>
          </w:tcPr>
          <w:p>
            <w:r>
              <w:rPr>
                <w:rFonts w:ascii="Arial" w:hAnsi="Arial"/>
                <w:sz w:val="19"/>
              </w:rPr>
              <w:t>24-hour notice of any likely 10-day schedule erosion</w:t>
            </w:r>
          </w:p>
        </w:tc>
      </w:tr>
    </w:tbl>
    <w:p/>
    <w:p>
      <w:pPr>
        <w:pStyle w:val="Heading1"/>
      </w:pPr>
      <w:r>
        <w:t>4. Schedule and Coordination</w:t>
      </w:r>
    </w:p>
    <w:p>
      <w:pPr>
        <w:spacing w:after="120" w:line="276" w:lineRule="auto"/>
      </w:pPr>
      <w:r>
        <w:rPr>
          <w:rFonts w:ascii="Arial" w:hAnsi="Arial"/>
          <w:sz w:val="21"/>
        </w:rPr>
        <w:t>This Rev A issue was released on 24 May 2028 against a program context then targeting shock qualification in early September 2028. Subsequent program constraints may move that downstream milestone, but Pelagic shall continue to support the latest prime direction and shall remain prepared for compressed factory sequencing once constrained hardware becomes available.</w:t>
      </w:r>
    </w:p>
    <w:p>
      <w:pPr>
        <w:spacing w:after="120" w:line="276" w:lineRule="auto"/>
      </w:pPr>
      <w:r>
        <w:rPr>
          <w:rFonts w:ascii="Arial" w:hAnsi="Arial"/>
          <w:sz w:val="21"/>
        </w:rPr>
        <w:t>Because Trident Echo is sensitive to factory resequencing, the supplier shall attend the weekly production board when requested and shall identify any assumptions that no longer hold if housing or bus-bar delivery timing changes.</w:t>
      </w:r>
    </w:p>
    <w:p>
      <w:pPr>
        <w:pStyle w:val="Heading1"/>
      </w:pPr>
      <w:r>
        <w:t>5. Acceptance, Packaging, and Contract Notes</w:t>
      </w:r>
    </w:p>
    <w:p>
      <w:pPr>
        <w:spacing w:after="120" w:line="276" w:lineRule="auto"/>
      </w:pPr>
      <w:r>
        <w:rPr>
          <w:rFonts w:ascii="Arial" w:hAnsi="Arial"/>
          <w:sz w:val="21"/>
        </w:rPr>
        <w:t>Acceptance will occur at the prime facility following receipt inspection and document review. Packaging shall protect finishes and connectors from corrosion, impact, and foreign material. The subcontract may map to internal charge lines analogous to CLIN structures, but those mappings do not alter the supplier's technical obligations. This SOW shall be interpreted in conjunction with the prime drawing set and any written authorized changes.</w:t>
      </w:r>
    </w:p>
    <w:p>
      <w:pPr>
        <w:pStyle w:val="Heading1"/>
      </w:pPr>
      <w:r>
        <w:t>Appendix A. Dependencies and Interfaces</w:t>
      </w:r>
    </w:p>
    <w:p>
      <w:pPr>
        <w:spacing w:after="120" w:line="276" w:lineRule="auto"/>
      </w:pPr>
      <w:r>
        <w:rPr>
          <w:rFonts w:ascii="Arial" w:hAnsi="Arial"/>
          <w:sz w:val="21"/>
        </w:rPr>
        <w:t>This document sits inside a broader execution thread for Trident Echo Naval Power Distribution Upgrade under contract SYN-NV-27-7740. Readers should expect related information to appear in planning notes, workbooks, meeting records, and other formal reports. The program office intentionally distributes truth across those artifacts: schedules tend to be most explicit in workbooks, supplier obligations are often clearest in statements of work or proposals, and causal explanations may appear first in draft notes before they are restated in a controlled format.</w:t>
      </w:r>
    </w:p>
    <w:p>
      <w:pPr>
        <w:spacing w:after="120" w:line="276" w:lineRule="auto"/>
      </w:pPr>
      <w:r>
        <w:rPr>
          <w:rFonts w:ascii="Arial" w:hAnsi="Arial"/>
          <w:sz w:val="21"/>
        </w:rPr>
        <w:t>Key interfaces in this program include the prime organization Meridian Maritime Power, suppliers such as Halcyon Foundry, Pelagic Switchgear, and execution sites including Gulf Forge Annex and Pier Nine Shock Laboratory. Similar entity names also appear elsewhere in the corpus, so analysts should use program context rather than string similarity alone when joining evidence.</w:t>
      </w:r>
    </w:p>
    <w:p>
      <w:pPr>
        <w:pStyle w:val="Heading1"/>
      </w:pPr>
      <w:r>
        <w:t>Appendix B. Assumptions and Management Attention Items</w:t>
      </w:r>
    </w:p>
    <w:p>
      <w:pPr>
        <w:spacing w:after="120" w:line="276" w:lineRule="auto"/>
      </w:pPr>
      <w:r>
        <w:rPr>
          <w:rFonts w:ascii="Arial" w:hAnsi="Arial"/>
          <w:sz w:val="21"/>
        </w:rPr>
        <w:t>Management assumptions embedded in this document include stable access to facilities, timely review cycles, and disciplined change control. If any of those assumptions erode, the resulting schedule or cost impact may appear first in the associated workbook rather than in a revised narrative. This is a normal feature of program execution and is deliberately represented here to create realistic retrieval conditions.</w:t>
      </w:r>
    </w:p>
    <w:p>
      <w:pPr>
        <w:spacing w:after="120" w:line="276" w:lineRule="auto"/>
      </w:pPr>
      <w:r>
        <w:rPr>
          <w:rFonts w:ascii="Arial" w:hAnsi="Arial"/>
          <w:sz w:val="21"/>
        </w:rPr>
        <w:t>Leadership attention is focused on maintaining internal consistency across technical, schedule, supplier, and financial reporting. A document that looks authoritative but still carries superseded dates or draft estimates should be interpreted carefully. Users evaluating a RAG system should therefore expect some questions to require choosing the latest controlled source rather than the most verbose source.</w:t>
      </w:r>
    </w:p>
    <w:p>
      <w:pPr>
        <w:pStyle w:val="Heading1"/>
      </w:pPr>
      <w:r>
        <w:t>Appendix C. Referenced or Related Artifacts</w:t>
      </w:r>
    </w:p>
    <w:p>
      <w:pPr>
        <w:spacing w:after="120" w:line="276" w:lineRule="auto"/>
      </w:pPr>
      <w:r>
        <w:rPr>
          <w:rFonts w:ascii="Arial" w:hAnsi="Arial"/>
          <w:sz w:val="21"/>
        </w:rPr>
        <w:t>Related artifacts include narrative notes, financial or schedule workbooks, and supplier-facing packages. Some questions can be answered from this file alone; others require cross-document synthesis, for example linking a milestone move to a supplier issue, or connecting a requirement threshold to a later test result. That cross-reference burden is intentional and is one of the main design goals of the corpus.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