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sz w:val="24"/>
        </w:rPr>
        <w:t>UNCLASSIFIED // SYNTHETIC TEST DATA</w:t>
        <w:br/>
      </w:r>
      <w:r>
        <w:rPr>
          <w:rFonts w:ascii="Arial" w:hAnsi="Arial"/>
          <w:b/>
          <w:i w:val="0"/>
          <w:sz w:val="40"/>
        </w:rPr>
        <w:t>Raven Crest Subcontract Statement of Work</w:t>
        <w:br/>
      </w:r>
      <w:r>
        <w:rPr>
          <w:rFonts w:ascii="Arial" w:hAnsi="Arial"/>
          <w:b w:val="0"/>
          <w:i/>
          <w:sz w:val="24"/>
        </w:rPr>
        <w:t>Expanded subcontract work package for transport, integration, data, and sustainment support</w:t>
        <w:br/>
      </w:r>
      <w:r>
        <w:rPr>
          <w:rFonts w:ascii="Arial" w:hAnsi="Arial"/>
          <w:b w:val="0"/>
          <w:i w:val="0"/>
          <w:sz w:val="21"/>
        </w:rPr>
        <w:t>Program: Raven Crest Expeditionary Relay Modernization</w:t>
        <w:br/>
        <w:t>Contract: SYN-RC-31-4407</w:t>
        <w:br/>
        <w:t>Prime: Silver Peak Mission Systems</w:t>
        <w:br/>
        <w:t>Revision: Rev B | Date: 02 Apr 2031</w:t>
      </w:r>
    </w:p>
    <w:p/>
    <w:p/>
    <w:p/>
    <w:p/>
    <w:p>
      <w:pPr>
        <w:jc w:val="center"/>
      </w:pPr>
      <w:r>
        <w:t>This synthetic document is intentionally verbose so that upload and corpus extraction paths see realistic, multi-page defense-contractor prose rather than toy examples.</w:t>
      </w:r>
    </w:p>
    <w:p>
      <w:pPr>
        <w:jc w:val="center"/>
      </w:pPr>
      <w:r>
        <w:t>The structure mirrors contractor-facing baselines, statements of work, and review records commonly encountered in defense acquisition, with numbered clauses, revision framing, and explanatory narrative wrapped around the requirement language.</w:t>
      </w:r>
    </w:p>
    <w:p>
      <w:pPr>
        <w:jc w:val="center"/>
      </w:pPr>
      <w:r>
        <w:t>All names, suppliers, part numbers, and milestones are fictional and provided solely for systems-engineering testing.</w:t>
      </w:r>
    </w:p>
    <w:p>
      <w:r>
        <w:br w:type="page"/>
      </w:r>
    </w:p>
    <w:p>
      <w:pPr>
        <w:pStyle w:val="Heading1"/>
      </w:pPr>
      <w:r>
        <w:t>Revision History</w:t>
      </w:r>
    </w:p>
    <w:tbl>
      <w:tblPr>
        <w:tblW w:type="auto" w:w="0"/>
        <w:tblLook w:firstColumn="1" w:firstRow="1" w:lastColumn="0" w:lastRow="0" w:noHBand="0" w:noVBand="1" w:val="04A0"/>
      </w:tblPr>
      <w:tblGrid>
        <w:gridCol w:w="2448"/>
        <w:gridCol w:w="2448"/>
        <w:gridCol w:w="2448"/>
        <w:gridCol w:w="2448"/>
      </w:tblGrid>
      <w:tr>
        <w:tc>
          <w:tcPr>
            <w:tcW w:type="dxa" w:w="2448"/>
          </w:tcPr>
          <w:p>
            <w:r>
              <w:t>Revision</w:t>
            </w:r>
          </w:p>
        </w:tc>
        <w:tc>
          <w:tcPr>
            <w:tcW w:type="dxa" w:w="2448"/>
          </w:tcPr>
          <w:p>
            <w:r>
              <w:t>Date</w:t>
            </w:r>
          </w:p>
        </w:tc>
        <w:tc>
          <w:tcPr>
            <w:tcW w:type="dxa" w:w="2448"/>
          </w:tcPr>
          <w:p>
            <w:r>
              <w:t>Authorizing Event</w:t>
            </w:r>
          </w:p>
        </w:tc>
        <w:tc>
          <w:tcPr>
            <w:tcW w:type="dxa" w:w="2448"/>
          </w:tcPr>
          <w:p>
            <w:r>
              <w:t>Summary</w:t>
            </w:r>
          </w:p>
        </w:tc>
      </w:tr>
      <w:tr>
        <w:tc>
          <w:tcPr>
            <w:tcW w:type="dxa" w:w="2448"/>
          </w:tcPr>
          <w:p>
            <w:r>
              <w:t>Rev A</w:t>
            </w:r>
          </w:p>
        </w:tc>
        <w:tc>
          <w:tcPr>
            <w:tcW w:type="dxa" w:w="2448"/>
          </w:tcPr>
          <w:p>
            <w:r>
              <w:t>2031-01-22</w:t>
            </w:r>
          </w:p>
        </w:tc>
        <w:tc>
          <w:tcPr>
            <w:tcW w:type="dxa" w:w="2448"/>
          </w:tcPr>
          <w:p>
            <w:r>
              <w:t>Supplier coordination package</w:t>
            </w:r>
          </w:p>
        </w:tc>
        <w:tc>
          <w:tcPr>
            <w:tcW w:type="dxa" w:w="2448"/>
          </w:tcPr>
          <w:p>
            <w:r>
              <w:t>Initial issue for solicitation release.</w:t>
            </w:r>
          </w:p>
        </w:tc>
      </w:tr>
      <w:tr>
        <w:tc>
          <w:tcPr>
            <w:tcW w:type="dxa" w:w="2448"/>
          </w:tcPr>
          <w:p>
            <w:r>
              <w:t>Rev B</w:t>
            </w:r>
          </w:p>
        </w:tc>
        <w:tc>
          <w:tcPr>
            <w:tcW w:type="dxa" w:w="2448"/>
          </w:tcPr>
          <w:p>
            <w:r>
              <w:t>2031-04-02</w:t>
            </w:r>
          </w:p>
        </w:tc>
        <w:tc>
          <w:tcPr>
            <w:tcW w:type="dxa" w:w="2448"/>
          </w:tcPr>
          <w:p>
            <w:r>
              <w:t>Negotiated award baseline</w:t>
            </w:r>
          </w:p>
        </w:tc>
        <w:tc>
          <w:tcPr>
            <w:tcW w:type="dxa" w:w="2448"/>
          </w:tcPr>
          <w:p>
            <w:r>
              <w:t>Expanded tasking, deliverables, and support annexes for award baseline.</w:t>
            </w:r>
          </w:p>
        </w:tc>
      </w:tr>
    </w:tbl>
    <w:p/>
    <w:p>
      <w:pPr>
        <w:pStyle w:val="Heading1"/>
      </w:pPr>
      <w:r>
        <w:t>Table of Contents</w:t>
      </w:r>
    </w:p>
    <w:p>
      <w:r>
        <w:t>1. Scope</w:t>
      </w:r>
    </w:p>
    <w:p>
      <w:r>
        <w:t>2. Applicable Documents</w:t>
      </w:r>
    </w:p>
    <w:p>
      <w:r>
        <w:t>3. Task Requirements</w:t>
      </w:r>
    </w:p>
    <w:p>
      <w:r>
        <w:t xml:space="preserve">  3.1 Program Management and Reviews</w:t>
      </w:r>
    </w:p>
    <w:p>
      <w:r>
        <w:t xml:space="preserve">  3.2 Engineering and Qualification Support</w:t>
      </w:r>
    </w:p>
    <w:p>
      <w:r>
        <w:t xml:space="preserve">  3.3 Quality and Data Handling</w:t>
      </w:r>
    </w:p>
    <w:p>
      <w:r>
        <w:t xml:space="preserve">  3.4 Delivery, Training, and Field Support</w:t>
      </w:r>
    </w:p>
    <w:p>
      <w:r>
        <w:t xml:space="preserve">  3.5 Configuration Status and Data Rights</w:t>
      </w:r>
    </w:p>
    <w:p>
      <w:r>
        <w:t xml:space="preserve">  3.6 Warranty, Transition, and Closeout</w:t>
      </w:r>
    </w:p>
    <w:p>
      <w:r>
        <w:t>4. Deliverables and Reports</w:t>
      </w:r>
    </w:p>
    <w:p>
      <w:r>
        <w:t>5. Government Furnished Information</w:t>
      </w:r>
    </w:p>
    <w:p>
      <w:r>
        <w:t>6. Notes</w:t>
      </w:r>
    </w:p>
    <w:p>
      <w:r>
        <w:t>Appendix A. CDRL Narrative Summary</w:t>
      </w:r>
    </w:p>
    <w:p>
      <w:r>
        <w:br w:type="page"/>
      </w:r>
    </w:p>
    <w:p>
      <w:pPr>
        <w:pStyle w:val="Heading1"/>
      </w:pPr>
      <w:r>
        <w:t>1. Scope</w:t>
      </w:r>
    </w:p>
    <w:p>
      <w:r>
        <w:t>1.1 This Statement of Work defines the contractor tasks required for Cedar Ridge Avionics to design, fabricate, qualify, document, deliver, and support the Raven Crest transport and integration hardware package associated with Increment 1 fielding.</w:t>
      </w:r>
    </w:p>
    <w:p>
      <w:r>
        <w:t>1.2 The SOW intentionally separates work obligations from the product performance baseline. Product acceptance requirements remain in the governing specification, while this document describes the effort, reviews, reports, support actions, and controlled data items the subcontractor is expected to perform and deliver.</w:t>
      </w:r>
    </w:p>
    <w:p>
      <w:r>
        <w:t>1.3 The government expects the subcontractor to use commercial best practices where those practices do not conflict with program-unique interface control, quality surveillance, cybersecurity handling, or schedule reporting expectations. Narrative discussion in this section is informative unless a sentence uses explicit mandatory language.</w:t>
      </w:r>
    </w:p>
    <w:p>
      <w:pPr>
        <w:pStyle w:val="Heading1"/>
      </w:pPr>
      <w:r>
        <w:t>2. Applicable Documents</w:t>
      </w:r>
    </w:p>
    <w:p>
      <w:r>
        <w:t>2.1 Applicable baseline documents include the Raven Crest System Performance Specification Rev A, the Raven Crest Interface Requirements Specification Rev A, the integrated master schedule framework, the subcontract data requirements list, and the quality management annex negotiated at award.</w:t>
      </w:r>
    </w:p>
    <w:p>
      <w:r>
        <w:t>2.2 The subcontractor also uses the controlled materials and processes list, the approved issue-resolution workflow, the cyber handling guidance for support environments, and the packaging and preservation instruction set released by Silver Peak Mission Systems.</w:t>
      </w:r>
    </w:p>
    <w:p>
      <w:r>
        <w:t>2.3 In the event of conflict among lower-level process references, this subcontract statement of work and the approved engineering direction issued under configuration control take precedence.</w:t>
      </w:r>
    </w:p>
    <w:p>
      <w:pPr>
        <w:pStyle w:val="Heading2"/>
      </w:pPr>
      <w:r>
        <w:t>3.1 Program Management and Reviews</w:t>
      </w:r>
    </w:p>
    <w:p>
      <w:r>
        <w:t>3.1 Program Management and Reviews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3.1.1 RC-SOW-31-01. </w:t>
      </w:r>
      <w:r>
        <w:t>The Contractor shall maintain an integrated task schedule showing design, procurement, fabrication, qualification, and delivery events at a level sufficient for government surveillance.</w:t>
      </w:r>
    </w:p>
    <w:p>
      <w:r>
        <w:t>Discussion for RC-SOW-31-01: the program team may tailor the exact meeting format, checklist layout, or supporting annex content, but the required outcome above remains binding for subcontract performance and surveillance.</w:t>
      </w:r>
    </w:p>
    <w:p>
      <w:r>
        <w:rPr>
          <w:b/>
        </w:rPr>
        <w:t xml:space="preserve">3.1.2 RC-SOW-31-02. </w:t>
      </w:r>
      <w:r>
        <w:t>The Contractor shall participate in weekly technical interchange meetings and monthly program management reviews using the government-provided agenda template.</w:t>
      </w:r>
    </w:p>
    <w:p>
      <w:r>
        <w:t>Discussion for RC-SOW-31-02: the program team may tailor the exact meeting format, checklist layout, or supporting annex content, but the required outcome above remains binding for subcontract performance and surveillance.</w:t>
      </w:r>
    </w:p>
    <w:p>
      <w:r>
        <w:rPr>
          <w:b/>
        </w:rPr>
        <w:t xml:space="preserve">3.1.3 RC-SOW-31-03. </w:t>
      </w:r>
      <w:r>
        <w:t>The Contractor shall identify schedule variance drivers greater than five working days and provide recovery actions in the next monthly report.</w:t>
      </w:r>
    </w:p>
    <w:p>
      <w:r>
        <w:t>Discussion for RC-SOW-31-03: the program team may tailor the exact meeting format, checklist layout, or supporting annex content, but the required outcome above remains binding for subcontract performance and surveillance.</w:t>
      </w:r>
    </w:p>
    <w:p>
      <w:r>
        <w:rPr>
          <w:b/>
        </w:rPr>
        <w:t xml:space="preserve">3.1.4 RC-SOW-31-04. </w:t>
      </w:r>
      <w:r>
        <w:t>The Contractor shall submit an updated open-issues log before each formal review event.</w:t>
      </w:r>
    </w:p>
    <w:p>
      <w:r>
        <w:t>Discussion for RC-SOW-31-04: the program team may tailor the exact meeting format, checklist layout, or supporting annex content, but the required outcome above remains binding for subcontract performance and surveillance.</w:t>
      </w:r>
    </w:p>
    <w:p>
      <w:r>
        <w:rPr>
          <w:b/>
        </w:rPr>
        <w:t xml:space="preserve">3.1.5 RC-SOW-31-05. </w:t>
      </w:r>
      <w:r>
        <w:t>The Contractor shall support System Requirements Review, Preliminary Design Review, Critical Design Review, and Production Readiness Review with required presentation material and action-item closure evidence.</w:t>
      </w:r>
    </w:p>
    <w:p>
      <w:r>
        <w:t>Discussion for RC-SOW-31-05: the program team may tailor the exact meeting format, checklist layout, or supporting annex content, but the required outcome above remains binding for subcontract performance and surveillance.</w:t>
      </w:r>
    </w:p>
    <w:p>
      <w:r>
        <w:rPr>
          <w:b/>
        </w:rPr>
        <w:t xml:space="preserve">3.1.6 RC-SOW-31-06. </w:t>
      </w:r>
      <w:r>
        <w:t>The Contractor shall coordinate all drawing releases through the Silver Peak Mission Systems configuration lead.</w:t>
      </w:r>
    </w:p>
    <w:p>
      <w:r>
        <w:t>Discussion for RC-SOW-31-06: the program team may tailor the exact meeting format, checklist layout, or supporting annex content, but the required outcome above remains binding for subcontract performance and surveillance.</w:t>
      </w:r>
    </w:p>
    <w:p>
      <w:pPr>
        <w:pStyle w:val="Heading2"/>
      </w:pPr>
      <w:r>
        <w:t>3.2 Engineering and Qualification Support</w:t>
      </w:r>
    </w:p>
    <w:p>
      <w:r>
        <w:t>3.2 Engineering and Qualification Support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3.2.1 RC-SOW-32-01. </w:t>
      </w:r>
      <w:r>
        <w:t>The Contractor shall design the transport and integration hardware so that it supports the approved interface baseline without unauthorized substitution of controlled materials or finishes.</w:t>
      </w:r>
    </w:p>
    <w:p>
      <w:r>
        <w:t>Discussion for RC-SOW-32-01: the program team may tailor the exact meeting format, checklist layout, or supporting annex content, but the required outcome above remains binding for subcontract performance and surveillance.</w:t>
      </w:r>
    </w:p>
    <w:p>
      <w:r>
        <w:rPr>
          <w:b/>
        </w:rPr>
        <w:t xml:space="preserve">3.2.2 RC-SOW-32-02. </w:t>
      </w:r>
      <w:r>
        <w:t>The Contractor shall fabricate qualification and production-representative article sets using processes approved by the program materials board.</w:t>
      </w:r>
    </w:p>
    <w:p>
      <w:r>
        <w:t>Discussion for RC-SOW-32-02: the program team may tailor the exact meeting format, checklist layout, or supporting annex content, but the required outcome above remains binding for subcontract performance and surveillance.</w:t>
      </w:r>
    </w:p>
    <w:p>
      <w:r>
        <w:rPr>
          <w:b/>
        </w:rPr>
        <w:t xml:space="preserve">3.2.3 RC-SOW-32-03. </w:t>
      </w:r>
      <w:r>
        <w:t>The Contractor shall maintain manufacturing travelers for each serialized assembly and shall preserve those travelers for not less than seven years after final delivery.</w:t>
      </w:r>
    </w:p>
    <w:p>
      <w:r>
        <w:t>Discussion for RC-SOW-32-03: the program team may tailor the exact meeting format, checklist layout, or supporting annex content, but the required outcome above remains binding for subcontract performance and surveillance.</w:t>
      </w:r>
    </w:p>
    <w:p>
      <w:r>
        <w:rPr>
          <w:b/>
        </w:rPr>
        <w:t xml:space="preserve">3.2.4 RC-SOW-32-04. </w:t>
      </w:r>
      <w:r>
        <w:t>The Contractor shall support fit-check, thermal, vibration, and transport demonstration events at the government integration site.</w:t>
      </w:r>
    </w:p>
    <w:p>
      <w:r>
        <w:t>Discussion for RC-SOW-32-04: the program team may tailor the exact meeting format, checklist layout, or supporting annex content, but the required outcome above remains binding for subcontract performance and surveillance.</w:t>
      </w:r>
    </w:p>
    <w:p>
      <w:r>
        <w:rPr>
          <w:b/>
        </w:rPr>
        <w:t xml:space="preserve">3.2.5 RC-SOW-32-05. </w:t>
      </w:r>
      <w:r>
        <w:t>The Contractor shall document all deviations, waivers, and nonconformances in the approved discrepancy reporting format.</w:t>
      </w:r>
    </w:p>
    <w:p>
      <w:r>
        <w:t>Discussion for RC-SOW-32-05: the program team may tailor the exact meeting format, checklist layout, or supporting annex content, but the required outcome above remains binding for subcontract performance and surveillance.</w:t>
      </w:r>
    </w:p>
    <w:p>
      <w:r>
        <w:rPr>
          <w:b/>
        </w:rPr>
        <w:t xml:space="preserve">3.2.6 RC-SOW-32-06. </w:t>
      </w:r>
      <w:r>
        <w:t>The Contractor shall not substitute connector families, structural adhesives, or corrosion-control treatments without prior written approval.</w:t>
      </w:r>
    </w:p>
    <w:p>
      <w:r>
        <w:t>Discussion for RC-SOW-32-06: the program team may tailor the exact meeting format, checklist layout, or supporting annex content, but the required outcome above remains binding for subcontract performance and surveillance.</w:t>
      </w:r>
    </w:p>
    <w:p>
      <w:pPr>
        <w:pStyle w:val="Heading2"/>
      </w:pPr>
      <w:r>
        <w:t>3.3 Quality and Data Handling</w:t>
      </w:r>
    </w:p>
    <w:p>
      <w:r>
        <w:t>3.3 Quality and Data Handling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3.3.1 RC-SOW-33-01. </w:t>
      </w:r>
      <w:r>
        <w:t>The Contractor shall implement access controls for all digital design repositories used to store Raven Crest technical data.</w:t>
      </w:r>
    </w:p>
    <w:p>
      <w:r>
        <w:t>Discussion for RC-SOW-33-01: the program team may tailor the exact meeting format, checklist layout, or supporting annex content, but the required outcome above remains binding for subcontract performance and surveillance.</w:t>
      </w:r>
    </w:p>
    <w:p>
      <w:r>
        <w:rPr>
          <w:b/>
        </w:rPr>
        <w:t xml:space="preserve">3.3.2 RC-SOW-33-02. </w:t>
      </w:r>
      <w:r>
        <w:t>The Contractor shall ensure that all externally delivered digital files are malware scanned prior to transmittal.</w:t>
      </w:r>
    </w:p>
    <w:p>
      <w:r>
        <w:t>Discussion for RC-SOW-33-02: the program team may tailor the exact meeting format, checklist layout, or supporting annex content, but the required outcome above remains binding for subcontract performance and surveillance.</w:t>
      </w:r>
    </w:p>
    <w:p>
      <w:r>
        <w:rPr>
          <w:b/>
        </w:rPr>
        <w:t xml:space="preserve">3.3.3 RC-SOW-33-03. </w:t>
      </w:r>
      <w:r>
        <w:t>The Contractor shall provide a monthly quality metrics summary covering defect escapes, rework hours, and supplier-caused material shortfalls.</w:t>
      </w:r>
    </w:p>
    <w:p>
      <w:r>
        <w:t>Discussion for RC-SOW-33-03: the program team may tailor the exact meeting format, checklist layout, or supporting annex content, but the required outcome above remains binding for subcontract performance and surveillance.</w:t>
      </w:r>
    </w:p>
    <w:p>
      <w:r>
        <w:rPr>
          <w:b/>
        </w:rPr>
        <w:t xml:space="preserve">3.3.4 RC-SOW-33-04. </w:t>
      </w:r>
      <w:r>
        <w:t>The Contractor shall preserve configuration status accounting for part numbers, drawing revisions, and serialized hardware deliveries.</w:t>
      </w:r>
    </w:p>
    <w:p>
      <w:r>
        <w:t>Discussion for RC-SOW-33-04: the program team may tailor the exact meeting format, checklist layout, or supporting annex content, but the required outcome above remains binding for subcontract performance and surveillance.</w:t>
      </w:r>
    </w:p>
    <w:p>
      <w:r>
        <w:rPr>
          <w:b/>
        </w:rPr>
        <w:t xml:space="preserve">3.3.5 RC-SOW-33-05. </w:t>
      </w:r>
      <w:r>
        <w:t>The Contractor shall report any suspected compromise of government-furnished technical data within 24 hours of discovery.</w:t>
      </w:r>
    </w:p>
    <w:p>
      <w:r>
        <w:t>Discussion for RC-SOW-33-05: the program team may tailor the exact meeting format, checklist layout, or supporting annex content, but the required outcome above remains binding for subcontract performance and surveillance.</w:t>
      </w:r>
    </w:p>
    <w:p>
      <w:r>
        <w:rPr>
          <w:b/>
        </w:rPr>
        <w:t xml:space="preserve">3.3.6 RC-SOW-33-06. </w:t>
      </w:r>
      <w:r>
        <w:t>The Contractor shall segregate Raven Crest controlled technical data from unrelated commercial program data in shared engineering environments.</w:t>
      </w:r>
    </w:p>
    <w:p>
      <w:r>
        <w:t>Discussion for RC-SOW-33-06: the program team may tailor the exact meeting format, checklist layout, or supporting annex content, but the required outcome above remains binding for subcontract performance and surveillance.</w:t>
      </w:r>
    </w:p>
    <w:p>
      <w:pPr>
        <w:pStyle w:val="Heading2"/>
      </w:pPr>
      <w:r>
        <w:t>3.4 Delivery, Training, and Field Support</w:t>
      </w:r>
    </w:p>
    <w:p>
      <w:r>
        <w:t>3.4 Delivery, Training, and Field Support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3.4.1 RC-SOW-34-01. </w:t>
      </w:r>
      <w:r>
        <w:t>The Contractor shall package all deliverable hardware in accordance with the approved preservation and packing instructions.</w:t>
      </w:r>
    </w:p>
    <w:p>
      <w:r>
        <w:t>Discussion for RC-SOW-34-01: the program team may tailor the exact meeting format, checklist layout, or supporting annex content, but the required outcome above remains binding for subcontract performance and surveillance.</w:t>
      </w:r>
    </w:p>
    <w:p>
      <w:r>
        <w:rPr>
          <w:b/>
        </w:rPr>
        <w:t xml:space="preserve">3.4.2 RC-SOW-34-02. </w:t>
      </w:r>
      <w:r>
        <w:t>The Contractor shall deliver first article hardware no later than 28 calendar days before the start of the qualification event window.</w:t>
      </w:r>
    </w:p>
    <w:p>
      <w:r>
        <w:t>Discussion for RC-SOW-34-02: the program team may tailor the exact meeting format, checklist layout, or supporting annex content, but the required outcome above remains binding for subcontract performance and surveillance.</w:t>
      </w:r>
    </w:p>
    <w:p>
      <w:r>
        <w:rPr>
          <w:b/>
        </w:rPr>
        <w:t xml:space="preserve">3.4.3 RC-SOW-34-03. </w:t>
      </w:r>
      <w:r>
        <w:t>The Contractor shall provide two on-site support representatives during first article installation and checkout.</w:t>
      </w:r>
    </w:p>
    <w:p>
      <w:r>
        <w:t>Discussion for RC-SOW-34-03: the program team may tailor the exact meeting format, checklist layout, or supporting annex content, but the required outcome above remains binding for subcontract performance and surveillance.</w:t>
      </w:r>
    </w:p>
    <w:p>
      <w:r>
        <w:rPr>
          <w:b/>
        </w:rPr>
        <w:t xml:space="preserve">3.4.4 RC-SOW-34-04. </w:t>
      </w:r>
      <w:r>
        <w:t>The Contractor shall submit recommended spare parts, special tools, and depot-only repair candidates as part of the provisioning support package.</w:t>
      </w:r>
    </w:p>
    <w:p>
      <w:r>
        <w:t>Discussion for RC-SOW-34-04: the program team may tailor the exact meeting format, checklist layout, or supporting annex content, but the required outcome above remains binding for subcontract performance and surveillance.</w:t>
      </w:r>
    </w:p>
    <w:p>
      <w:r>
        <w:rPr>
          <w:b/>
        </w:rPr>
        <w:t xml:space="preserve">3.4.5 RC-SOW-34-05. </w:t>
      </w:r>
      <w:r>
        <w:t>The Contractor shall train designated government maintainers on installation, removal, inspection, and basic fault isolation tasks.</w:t>
      </w:r>
    </w:p>
    <w:p>
      <w:r>
        <w:t>Discussion for RC-SOW-34-05: the program team may tailor the exact meeting format, checklist layout, or supporting annex content, but the required outcome above remains binding for subcontract performance and surveillance.</w:t>
      </w:r>
    </w:p>
    <w:p>
      <w:r>
        <w:rPr>
          <w:b/>
        </w:rPr>
        <w:t xml:space="preserve">3.4.6 RC-SOW-34-06. </w:t>
      </w:r>
      <w:r>
        <w:t>The Contractor shall support root-cause assessment for any hardware-attributed field failure reported during the warranty period.</w:t>
      </w:r>
    </w:p>
    <w:p>
      <w:r>
        <w:t>Discussion for RC-SOW-34-06: the program team may tailor the exact meeting format, checklist layout, or supporting annex content, but the required outcome above remains binding for subcontract performance and surveillance.</w:t>
      </w:r>
    </w:p>
    <w:p>
      <w:pPr>
        <w:pStyle w:val="Heading2"/>
      </w:pPr>
      <w:r>
        <w:t>3.5 Configuration Status and Data Rights</w:t>
      </w:r>
    </w:p>
    <w:p>
      <w:r>
        <w:t>3.5 Configuration Status and Data Rights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3.5.1 RC-SOW-35-01. </w:t>
      </w:r>
      <w:r>
        <w:t>The Contractor shall identify every deliverable drawing, parts list, process note, and software utility by controlled revision identifier in the monthly configuration status report.</w:t>
      </w:r>
    </w:p>
    <w:p>
      <w:r>
        <w:t>Discussion for RC-SOW-35-01: the program team may tailor the exact meeting format, checklist layout, or supporting annex content, but the required outcome above remains binding for subcontract performance and surveillance.</w:t>
      </w:r>
    </w:p>
    <w:p>
      <w:r>
        <w:rPr>
          <w:b/>
        </w:rPr>
        <w:t xml:space="preserve">3.5.2 RC-SOW-35-02. </w:t>
      </w:r>
      <w:r>
        <w:t>The Contractor shall flag any contractor-owned background data proposed for use in a deliverable item and shall identify the intended license treatment before delivery.</w:t>
      </w:r>
    </w:p>
    <w:p>
      <w:r>
        <w:t>Discussion for RC-SOW-35-02: the program team may tailor the exact meeting format, checklist layout, or supporting annex content, but the required outcome above remains binding for subcontract performance and surveillance.</w:t>
      </w:r>
    </w:p>
    <w:p>
      <w:r>
        <w:rPr>
          <w:b/>
        </w:rPr>
        <w:t xml:space="preserve">3.5.3 RC-SOW-35-03. </w:t>
      </w:r>
      <w:r>
        <w:t>The Contractor shall provide a parts obsolescence watch list with each quarterly status package.</w:t>
      </w:r>
    </w:p>
    <w:p>
      <w:r>
        <w:t>Discussion for RC-SOW-35-03: the program team may tailor the exact meeting format, checklist layout, or supporting annex content, but the required outcome above remains binding for subcontract performance and surveillance.</w:t>
      </w:r>
    </w:p>
    <w:p>
      <w:r>
        <w:rPr>
          <w:b/>
        </w:rPr>
        <w:t xml:space="preserve">3.5.4 RC-SOW-35-04. </w:t>
      </w:r>
      <w:r>
        <w:t>The Contractor shall maintain traceability between procurement records, receiving inspection records, and serialized assembly identifiers.</w:t>
      </w:r>
    </w:p>
    <w:p>
      <w:r>
        <w:t>Discussion for RC-SOW-35-04: the program team may tailor the exact meeting format, checklist layout, or supporting annex content, but the required outcome above remains binding for subcontract performance and surveillance.</w:t>
      </w:r>
    </w:p>
    <w:p>
      <w:r>
        <w:rPr>
          <w:b/>
        </w:rPr>
        <w:t xml:space="preserve">3.5.5 RC-SOW-35-05. </w:t>
      </w:r>
      <w:r>
        <w:t>The Contractor shall preserve redline build changes and shall reconcile those changes into released data prior to lot acceptance.</w:t>
      </w:r>
    </w:p>
    <w:p>
      <w:r>
        <w:t>Discussion for RC-SOW-35-05: the program team may tailor the exact meeting format, checklist layout, or supporting annex content, but the required outcome above remains binding for subcontract performance and surveillance.</w:t>
      </w:r>
    </w:p>
    <w:p>
      <w:r>
        <w:rPr>
          <w:b/>
        </w:rPr>
        <w:t xml:space="preserve">3.5.6 RC-SOW-35-06. </w:t>
      </w:r>
      <w:r>
        <w:t>The Contractor shall deliver native digital source files for CDRL items identified as editable government products.</w:t>
      </w:r>
    </w:p>
    <w:p>
      <w:r>
        <w:t>Discussion for RC-SOW-35-06: the program team may tailor the exact meeting format, checklist layout, or supporting annex content, but the required outcome above remains binding for subcontract performance and surveillance.</w:t>
      </w:r>
    </w:p>
    <w:p>
      <w:pPr>
        <w:pStyle w:val="Heading2"/>
      </w:pPr>
      <w:r>
        <w:t>3.6 Warranty, Transition, and Closeout</w:t>
      </w:r>
    </w:p>
    <w:p>
      <w:r>
        <w:t>3.6 Warranty, Transition, and Closeout is written in the style of a defense subcontract work package. The surrounding prose explains why the task exists, what downstream review it supports, and how the task interacts with the technical baseline, but the numbered mandatory sentences remain the actual obligations.</w:t>
      </w:r>
    </w:p>
    <w:p>
      <w:r>
        <w:t>The government expects the subcontractor to use efficient internal methods so long as those methods preserve review readiness, quality evidence, secure data handling, and compatibility with the approved program interfaces. Several of the tasks below were expanded specifically to make this document long enough for realistic extraction and pagination testing.</w:t>
      </w:r>
    </w:p>
    <w:p>
      <w:r>
        <w:rPr>
          <w:b/>
        </w:rPr>
        <w:t xml:space="preserve">3.6.1 RC-SOW-36-01. </w:t>
      </w:r>
      <w:r>
        <w:t>The Contractor shall provide a transition brief before the start of full-rate production support.</w:t>
      </w:r>
    </w:p>
    <w:p>
      <w:r>
        <w:t>Discussion for RC-SOW-36-01: the program team may tailor the exact meeting format, checklist layout, or supporting annex content, but the required outcome above remains binding for subcontract performance and surveillance.</w:t>
      </w:r>
    </w:p>
    <w:p>
      <w:r>
        <w:rPr>
          <w:b/>
        </w:rPr>
        <w:t xml:space="preserve">3.6.2 RC-SOW-36-02. </w:t>
      </w:r>
      <w:r>
        <w:t>The Contractor shall maintain an active warranty response point of contact for the duration specified in the subcontract.</w:t>
      </w:r>
    </w:p>
    <w:p>
      <w:r>
        <w:t>Discussion for RC-SOW-36-02: the program team may tailor the exact meeting format, checklist layout, or supporting annex content, but the required outcome above remains binding for subcontract performance and surveillance.</w:t>
      </w:r>
    </w:p>
    <w:p>
      <w:r>
        <w:rPr>
          <w:b/>
        </w:rPr>
        <w:t xml:space="preserve">3.6.3 RC-SOW-36-03. </w:t>
      </w:r>
      <w:r>
        <w:t>The Contractor shall deliver a final lessons-learned package summarizing manufacturing escapes, recurring support burdens, and recommended process improvements.</w:t>
      </w:r>
    </w:p>
    <w:p>
      <w:r>
        <w:t>Discussion for RC-SOW-36-03: the program team may tailor the exact meeting format, checklist layout, or supporting annex content, but the required outcome above remains binding for subcontract performance and surveillance.</w:t>
      </w:r>
    </w:p>
    <w:p>
      <w:r>
        <w:rPr>
          <w:b/>
        </w:rPr>
        <w:t xml:space="preserve">3.6.4 RC-SOW-36-04. </w:t>
      </w:r>
      <w:r>
        <w:t>The Contractor shall support one closeout review to confirm completion status for all open technical and data-delivery actions.</w:t>
      </w:r>
    </w:p>
    <w:p>
      <w:r>
        <w:t>Discussion for RC-SOW-36-04: the program team may tailor the exact meeting format, checklist layout, or supporting annex content, but the required outcome above remains binding for subcontract performance and surveillance.</w:t>
      </w:r>
    </w:p>
    <w:p>
      <w:r>
        <w:rPr>
          <w:b/>
        </w:rPr>
        <w:t xml:space="preserve">3.6.5 RC-SOW-36-05. </w:t>
      </w:r>
      <w:r>
        <w:t>The Contractor shall retain tooling calibration and acceptance records until formal closeout direction is received.</w:t>
      </w:r>
    </w:p>
    <w:p>
      <w:r>
        <w:t>Discussion for RC-SOW-36-05: the program team may tailor the exact meeting format, checklist layout, or supporting annex content, but the required outcome above remains binding for subcontract performance and surveillance.</w:t>
      </w:r>
    </w:p>
    <w:p>
      <w:r>
        <w:rPr>
          <w:b/>
        </w:rPr>
        <w:t xml:space="preserve">3.6.6 RC-SOW-36-06. </w:t>
      </w:r>
      <w:r>
        <w:t>The Contractor shall identify any residual support dependencies that would affect future competition for sustainment or redesign work.</w:t>
      </w:r>
    </w:p>
    <w:p>
      <w:r>
        <w:t>Discussion for RC-SOW-36-06: the program team may tailor the exact meeting format, checklist layout, or supporting annex content, but the required outcome above remains binding for subcontract performance and surveillance.</w:t>
      </w:r>
    </w:p>
    <w:p>
      <w:pPr>
        <w:pStyle w:val="Heading1"/>
      </w:pPr>
      <w:r>
        <w:t>4. Deliverables and Reports</w:t>
      </w:r>
    </w:p>
    <w:p>
      <w:r>
        <w:t>4.1 Deliverables are scheduled in the subcontract CDRL set and keyed to the integrated schedule. The government uses these deliveries to assess technical readiness, quality posture, and production maturity across the subcontract effort.</w:t>
      </w:r>
    </w:p>
    <w:p>
      <w:r>
        <w:t>4.2 Deliverable media may include controlled collaboration-space uploads, encrypted transfer packages, and hard-copy review books for selected formal events. The subcontractor should coordinate format details during kickoff and subsequent review planning.</w:t>
      </w:r>
    </w:p>
    <w:p>
      <w:r>
        <w:t>4.3 Review records, status logs, and closeout evidence are retained in the program repository and cross-indexed to the applicable event, discrepancy, or action item.</w:t>
      </w:r>
    </w:p>
    <w:p>
      <w:pPr>
        <w:pStyle w:val="Heading1"/>
      </w:pPr>
      <w:r>
        <w:t>5. Government Furnished Information</w:t>
      </w:r>
    </w:p>
    <w:p>
      <w:r>
        <w:t>5.1 Government furnished information includes current Raven Crest baseline drawings, interface references, hazard analyses, packaging definitions, review checklists, and support-equipment interface data.</w:t>
      </w:r>
    </w:p>
    <w:p>
      <w:r>
        <w:t>5.2 Government furnished equipment includes fit-check fixtures, instrumentation adapters, temporary integration cables, and selected training aids identified in the kickoff package.</w:t>
      </w:r>
    </w:p>
    <w:p>
      <w:r>
        <w:t>5.3 The government will coordinate access to integration facilities, visitor credentials, and test-window planning through the Silver Peak site lead.</w:t>
      </w:r>
    </w:p>
    <w:p>
      <w:pPr>
        <w:pStyle w:val="Heading1"/>
      </w:pPr>
      <w:r>
        <w:t>6. Notes</w:t>
      </w:r>
    </w:p>
    <w:p>
      <w:r>
        <w:t>6.1 This SOW complements rather than replaces the product performance specification. 6.2 Sentences using will, should, and may communicate planning assumptions or explanatory context and are not by themselves contractual obligations. 6.3 The subcontractor is encouraged to propose production efficiency improvements when those improvements do not change approved interfaces or baseline requirements.</w:t>
      </w:r>
    </w:p>
    <w:p>
      <w:r>
        <w:t>6.4 The narrative style in this document is intentionally richer than a bare checklist because real defense subcontract work packages frequently contain explanatory rationale, coordination expectations, data-item context, and review framing around the actual mandatory task statements.</w:t>
      </w:r>
    </w:p>
    <w:p>
      <w:r>
        <w:br w:type="page"/>
      </w:r>
    </w:p>
    <w:p>
      <w:pPr>
        <w:pStyle w:val="Heading1"/>
      </w:pPr>
      <w:r>
        <w:t>Appendix A. CDRL Narrative Summary</w:t>
      </w:r>
    </w:p>
    <w:p>
      <w:r>
        <w:t>A.1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A.2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A.3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A.4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A.5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A.6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A.7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p>
      <w:r>
        <w:t>A.8 The Raven Crest subcontract CDRL set includes schedule, quality, discrepancy, qualification, provisioning, cybersecurity, and closeout items. This appendix summarizes why each data item exists, how the government uses it, and what supporting evidence is normally attached. The appendix is intentionally prose-heavy to make the document feel like a production work package rather than a synthetic checklist.</w:t>
      </w:r>
    </w:p>
    <w:sectPr w:rsidR="00FC693F" w:rsidRPr="0006063C" w:rsidSect="00034616">
      <w:pgSz w:w="12240" w:h="15840"/>
      <w:pgMar w:top="1152"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