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3A6B"/>
          <w:sz w:val="64"/>
          <w:szCs w:val="64"/>
        </w:rPr>
        <w:t xml:space="preserve">BROYHILLGOP</w:t>
      </w:r>
    </w:p>
    <w:p>
      <w:pPr>
        <w:spacing w:after="200" w:before="0"/>
        <w:jc w:val="center"/>
      </w:pPr>
      <w:r>
        <w:rPr>
          <w:rFonts w:ascii="Arial" w:cs="Arial" w:eastAsia="Arial" w:hAnsi="Arial"/>
          <w:b/>
          <w:bCs/>
          <w:color w:val="2E5FA3"/>
          <w:sz w:val="40"/>
          <w:szCs w:val="40"/>
        </w:rPr>
        <w:t xml:space="preserve">ENTERPRISE CRM ARCHITECTURE STRATEGY</w:t>
      </w:r>
    </w:p>
    <w:p>
      <w:pPr>
        <w:pBdr>
          <w:bottom w:val="single" w:color="E8711A" w:sz="8" w:space="1"/>
        </w:pBdr>
        <w:spacing w:after="600" w:before="0"/>
        <w:jc w:val="center"/>
      </w:pPr>
      <w:r>
        <w:rPr>
          <w:rFonts w:ascii="Arial" w:cs="Arial" w:eastAsia="Arial" w:hAnsi="Arial"/>
          <w:i/>
          <w:iCs/>
          <w:color w:val="E8711A"/>
          <w:sz w:val="28"/>
          <w:szCs w:val="28"/>
        </w:rPr>
        <w:t xml:space="preserve">Mimicking Microsoft Dynamics 365 Logic Across All 59 Ecosystems</w:t>
      </w:r>
    </w:p>
    <w:p>
      <w:pPr>
        <w:spacing w:after="100" w:before="400"/>
        <w:jc w:val="center"/>
      </w:pPr>
      <w:r>
        <w:rPr>
          <w:rFonts w:ascii="Arial" w:cs="Arial" w:eastAsia="Arial" w:hAnsi="Arial"/>
          <w:color w:val="1A1A2E"/>
          <w:sz w:val="22"/>
          <w:szCs w:val="22"/>
        </w:rPr>
        <w:t xml:space="preserve">Prepared for Eddie Broyhill  |  NC RNC  |  BroyhillGOP Platform</w:t>
      </w:r>
    </w:p>
    <w:p>
      <w:pPr>
        <w:spacing w:after="100" w:before="0"/>
        <w:jc w:val="center"/>
      </w:pPr>
      <w:r>
        <w:rPr>
          <w:rFonts w:ascii="Arial" w:cs="Arial" w:eastAsia="Arial" w:hAnsi="Arial"/>
          <w:color w:val="1A1A2E"/>
          <w:sz w:val="22"/>
          <w:szCs w:val="22"/>
        </w:rPr>
        <w:t xml:space="preserve">April 2026  |  Confidential</w:t>
      </w:r>
    </w:p>
    <w:p>
      <w:r>
        <w:br w:type="page"/>
      </w:r>
    </w:p>
    <w:p>
      <w:pPr>
        <w:pStyle w:val="Heading1"/>
        <w:spacing w:after="180" w:before="360"/>
      </w:pPr>
      <w:r>
        <w:rPr>
          <w:rFonts w:ascii="Arial" w:cs="Arial" w:eastAsia="Arial" w:hAnsi="Arial"/>
          <w:b/>
          <w:bCs/>
          <w:color w:val="1B3A6B"/>
          <w:sz w:val="36"/>
          <w:szCs w:val="36"/>
        </w:rPr>
        <w:t xml:space="preserve">EXECUTIVE SUMMARY</w:t>
      </w:r>
    </w:p>
    <w:p>
      <w:pPr>
        <w:pBdr>
          <w:bottom w:val="single" w:color="2E5FA3" w:sz="4" w:space="1"/>
        </w:pBdr>
        <w:spacing w:after="120" w:before="120"/>
      </w:pPr>
      <w:r>
        <w:t xml:space="preserve"/>
      </w:r>
    </w:p>
    <w:p>
      <w:pPr>
        <w:spacing w:after="100" w:before="60"/>
      </w:pPr>
      <w:r>
        <w:rPr>
          <w:rFonts w:ascii="Arial" w:cs="Arial" w:eastAsia="Arial" w:hAnsi="Arial"/>
          <w:color w:val="1A1A2E"/>
          <w:sz w:val="22"/>
          <w:szCs w:val="22"/>
        </w:rPr>
        <w:t xml:space="preserve">BroyhillGOP was architecturally designed as a giant CRM — not a campaign tool with a CRM bolted on. That foundational decision puts it in the same category as Microsoft Dynamics 365, Salesforce, and Marketo at enterprise scale. The person spine is the proof: every one of the 59 ecosystems traces back to one master record per human being, identical to Dataverse's unified entity model in Dynamics 365.</w:t>
      </w:r>
    </w:p>
    <w:p>
      <w:pPr>
        <w:spacing w:after="60" w:before="60"/>
      </w:pPr>
      <w:r>
        <w:t xml:space="preserve"/>
      </w:r>
    </w:p>
    <w:p>
      <w:pPr>
        <w:spacing w:after="100" w:before="60"/>
      </w:pPr>
      <w:r>
        <w:rPr>
          <w:rFonts w:ascii="Arial" w:cs="Arial" w:eastAsia="Arial" w:hAnsi="Arial"/>
          <w:color w:val="1A1A2E"/>
          <w:sz w:val="22"/>
          <w:szCs w:val="22"/>
        </w:rPr>
        <w:t xml:space="preserve">However, Dynamics 365 has 30 years of enterprise engineering behind it. It has solved problems that BroyhillGOP has not yet addressed: role-based security, audit trails, process flow engines, plugin architecture, multi-tenant isolation, add-on marketplaces, and no-code configuration layers. These are not gaps in vision — they are gaps in execution that this strategy addresses.</w:t>
      </w:r>
    </w:p>
    <w:p>
      <w:pPr>
        <w:spacing w:after="60" w:before="60"/>
      </w:pPr>
      <w:r>
        <w:t xml:space="preserve"/>
      </w:r>
    </w:p>
    <w:p>
      <w:pPr>
        <w:spacing w:after="100" w:before="60"/>
      </w:pPr>
      <w:r>
        <w:rPr>
          <w:rFonts w:ascii="Arial" w:cs="Arial" w:eastAsia="Arial" w:hAnsi="Arial"/>
          <w:color w:val="1A1A2E"/>
          <w:sz w:val="22"/>
          <w:szCs w:val="22"/>
        </w:rPr>
        <w:t xml:space="preserve">This document analyzes all 12 core architectural pillars of Dynamics 365 and defines an exact strategy for BroyhillGOP to replicate that logic — not by buying D365, but by building its intelligence natively on top of the platform's existing 59-ecosystem, 200+ table, person-spine foundation.</w:t>
      </w:r>
    </w:p>
    <w:p>
      <w:pPr>
        <w:spacing w:after="60" w:before="60"/>
      </w:pPr>
      <w:r>
        <w:t xml:space="preserve"/>
      </w:r>
    </w:p>
    <w:p>
      <w:pPr>
        <w:spacing w:after="100" w:before="60"/>
      </w:pPr>
      <w:r>
        <w:rPr>
          <w:rFonts w:ascii="Arial" w:cs="Arial" w:eastAsia="Arial" w:hAnsi="Arial"/>
          <w:color w:val="1A1A2E"/>
          <w:sz w:val="22"/>
          <w:szCs w:val="22"/>
        </w:rPr>
        <w:t xml:space="preserve">The result: BroyhillGOP becomes the first political platform in the country architected at Dynamics 365 enterprise grade — with the flexibility of Ontraport's many-to-many role model, the automation depth of Marketo, and the AI intelligence of Salesforce Einstein — all purpose-built for Republican campaign operations at NC RNC scale.</w:t>
      </w:r>
    </w:p>
    <w:p>
      <w:r>
        <w:br w:type="page"/>
      </w:r>
    </w:p>
    <w:p>
      <w:pPr>
        <w:pStyle w:val="Heading1"/>
        <w:spacing w:after="180" w:before="360"/>
      </w:pPr>
      <w:r>
        <w:rPr>
          <w:rFonts w:ascii="Arial" w:cs="Arial" w:eastAsia="Arial" w:hAnsi="Arial"/>
          <w:b/>
          <w:bCs/>
          <w:color w:val="1B3A6B"/>
          <w:sz w:val="36"/>
          <w:szCs w:val="36"/>
        </w:rPr>
        <w:t xml:space="preserve">PART I: DYNAMICS 365 — THE 12 ARCHITECTURAL PILLARS</w:t>
      </w:r>
    </w:p>
    <w:p>
      <w:pPr>
        <w:pBdr>
          <w:bottom w:val="single" w:color="2E5FA3" w:sz="4" w:space="1"/>
        </w:pBdr>
        <w:spacing w:after="120" w:before="120"/>
      </w:pPr>
      <w:r>
        <w:t xml:space="preserve"/>
      </w:r>
    </w:p>
    <w:p>
      <w:pPr>
        <w:spacing w:after="100" w:before="60"/>
      </w:pPr>
      <w:r>
        <w:rPr>
          <w:rFonts w:ascii="Arial" w:cs="Arial" w:eastAsia="Arial" w:hAnsi="Arial"/>
          <w:color w:val="1A1A2E"/>
          <w:sz w:val="22"/>
          <w:szCs w:val="22"/>
        </w:rPr>
        <w:t xml:space="preserve">Dynamics 365 is not one application. It is a platform of platforms built on 12 core architectural pillars. Each pillar solves a class of enterprise problem. Understanding all 12 is the prerequisite for replicating their logic in BroyhillGOP.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18"/>
                <w:szCs w:val="18"/>
              </w:rPr>
              <w:t xml:space="preserve">PILLAR</w:t>
            </w:r>
          </w:p>
        </w:tc>
        <w:tc>
          <w:tcPr>
            <w:tcW w:type="dxa" w:w="756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22"/>
                <w:szCs w:val="22"/>
              </w:rPr>
              <w:t xml:space="preserve">01 — DATAVERSE — THE UNIFIED DATA MODEL</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WHAT IT IS</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Dataverse is D365's central data platform. Every application (Sales, Marketing, Customer Service, Field Service) writes to and reads from the same underlying entity store. No data silos. Every table has standard fields (created by, modified on, owner, status) automatically. Relationships between entities are first-class citizens with cascade rules.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STRENGTH</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Any app built on D365 automatically sees all data from every other app. A sales rep sees the full service history. A marketing email knows the open service tickets. One data model eliminates integration work forever.</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BGOP CURRENT STATE</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The person_spine in Supabase IS BroyhillGOP's Dataverse equivalent — every ecosystem references the same person_id. However, standard audit fields (created_by, modified_by, modified_at) are inconsistent across ecosystem tables, cascade delete rules are not standardized, and relationship metadata is undocumented.</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THE GAP</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No standardized entity framework. No registry of which tables own which relationships. No enforced standard fields across all 200+ tables. Relationship cascade rules vary by ecosystem.</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MIMICRY STRATEGY</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Define a BGOP Entity Standard: every table in every ecosystem MUST have: created_at TIMESTAMPTZ, updated_at TIMESTAMPTZ, created_by UUID, modified_by UUID, is_active BOOLEAN, and a FK to person_spine where applicable. Write a migration to backfill these across all 200+ tables. Document all inter-ecosystem relationships in a central SCHEMA_REGISTRY.md.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18"/>
                <w:szCs w:val="18"/>
              </w:rPr>
              <w:t xml:space="preserve">PILLAR</w:t>
            </w:r>
          </w:p>
        </w:tc>
        <w:tc>
          <w:tcPr>
            <w:tcW w:type="dxa" w:w="756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22"/>
                <w:szCs w:val="22"/>
              </w:rPr>
              <w:t xml:space="preserve">02 — SOLUTION FRAMEWORK — PACKAGED DEPLOYMENTS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WHAT IT IS</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customizations are packaged as Solutions — versioned, exportable ZIP archives that can be moved between environments (dev → test → prod). Each solution has a publisher prefix, version number, and dependency list. Solutions can be managed (locked, no editing) or unmanaged (editable). ISVs ship managed solutions via AppSource.</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STRENGTH</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Zero-downtime deployments. Roll back a bad customization by uninstalling its solution. Ship a new ecosystem feature as a managed package. Independent versioning per ecosystem module.</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BGOP CURRENT STATE</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Each ecosystem is a Python file deployed manually. There is no versioning per ecosystem, no dependency registry between ecosystems, and no rollback capability. DEPLOY_ALL_ECOSYSTEMS.py deploys everything simultaneously with no selective control.</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THE GAP</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No per-ecosystem versioning. No rollback. No dependency enforcement between ecosystems. A failed E30 deploy can cascade and break E20 Brain triggers that depend on it.</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MIMICRY STRATEGY</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Adopt Ecosystem Versioning: add a VERSION field to each ecosystem file header and a central ecosystem_registry table in Supabase (ecosystem_id, version, deployed_at, deployed_by, status, dependencies[]). Create DEPLOY_ECOSYSTEM.py that deploys one ecosystem at a time with pre-flight dependency checks and rollback on failure.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18"/>
                <w:szCs w:val="18"/>
              </w:rPr>
              <w:t xml:space="preserve">PILLAR</w:t>
            </w:r>
          </w:p>
        </w:tc>
        <w:tc>
          <w:tcPr>
            <w:tcW w:type="dxa" w:w="756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22"/>
                <w:szCs w:val="22"/>
              </w:rPr>
              <w:t xml:space="preserve">03 — PLUGIN / TRIGGER ARCHITECTURE</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WHAT IT IS</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Plugins are C# assemblies registered on entity events (Create, Update, Delete, Retrieve). They fire at three stages: Pre-Validation (before DB write, can abort), Pre-Operation (in transaction, can modify), Post-Operation (after commit, async optional). Every plugin is traced in the Plugin Trace Log for debugging.</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STRENGTH</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Any data event anywhere in the platform can trigger business logic. The logic runs in the database transaction, ensuring consistency. Trace logs let developers debug exactly what fired, when, and why.</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BGOP CURRENT STATE</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Supabase triggers and PostgreSQL functions exist but are inconsistent. E20 Brain has 905 IFTTT triggers but they are defined in application code, not in the database event layer. There is no trace log for which triggers fired on any given event.</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THE GAP</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No pre-validation hooks (data can enter the DB before business rules check it). No trigger trace log. Triggers defined outside the DB can be bypassed by direct DB writes. No standardized trigger registry.</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MIMICRY STRATEGY</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Build a three-stage trigger framework in PostgreSQL: BEFORE INSERT/UPDATE (pre-validation), WITHIN TRANSACTION (pre-operation), AFTER COMMIT via pg_notify + Redis (post-operation async). Create an event_trace_log table that records every trigger fire: trigger_name, entity, record_id, stage, duration_ms, outcome, error_detail. Route all E20 Brain logic through this framework.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18"/>
                <w:szCs w:val="18"/>
              </w:rPr>
              <w:t xml:space="preserve">PILLAR</w:t>
            </w:r>
          </w:p>
        </w:tc>
        <w:tc>
          <w:tcPr>
            <w:tcW w:type="dxa" w:w="756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22"/>
                <w:szCs w:val="22"/>
              </w:rPr>
              <w:t xml:space="preserve">04 — SECURITY ARCHITECTURE — ROLES, TEAMS, FIELD SECURITY</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WHAT IT IS</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security has five layers: (1) Business Units — organizational hierarchy that owns records by default. (2) Security Roles — privilege sets (Create/Read/Update/Delete/Append) scoped to User, Business Unit, Parent BU, or Organization level. (3) Teams — shared ownership across BU boundaries. (4) Field-level Security Profiles — restrict who sees sensitive columns. (5) Hierarchy Security — managers see subordinate records automatically.</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STRENGTH</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 campaign finance director can see donation amounts but not donor home addresses. A field organizer sees their precinct data only. A candidate sees only their own campaign records. All enforced at the data layer — no application code required.</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BGOP CURRENT STATE</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Security is essentially unimplemented at the multi-tenant level. candidate_id is used as a tenant key but there is no enforcement layer preventing a candidate's API session from querying another candidate's donor data. No field-level security exists.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THE GAP</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Multi-tenant data isolation is honor-based, not enforced. No role model for different user types (candidate, campaign manager, finance director, volunteer coordinator, data admin). No field-level security on sensitive columns (SSN, DOB, home address, wealth scores).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MIMICRY STRATEGY</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Implement a five-table security model: bgop_business_units (candidate → committee → district hierarchy), bgop_security_roles (permission sets per role type), bgop_team_memberships, bgop_field_security_profiles, bgop_user_role_assignments. Enable Supabase Row Level Security (RLS) on all ecosystem tables with candidate_id as the isolation key. Define 8 standard roles: Platform Admin, Candidate, Campaign Manager, Finance Director, Field Coordinator, Volunteer Coordinator, Data Analyst, Read-Only.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18"/>
                <w:szCs w:val="18"/>
              </w:rPr>
              <w:t xml:space="preserve">PILLAR</w:t>
            </w:r>
          </w:p>
        </w:tc>
        <w:tc>
          <w:tcPr>
            <w:tcW w:type="dxa" w:w="756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22"/>
                <w:szCs w:val="22"/>
              </w:rPr>
              <w:t xml:space="preserve">05 — PROCESS ENGINE — FLOWS, BUSINESS RULES, GUIDED WORKFLOWS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WHAT IT IS</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has four process types: (1) Business Process Flows — stage-gated guided workflows shown in the UI (e.g., Lead → Qualified → Proposal → Close). (2) Power Automate Cloud Flows — event-triggered multi-step automation. (3) Business Rules — no-code if/then logic on individual fields. (4) Classic Workflows — background automation with conditions and wait steps.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STRENGTH</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 new campaign is walked through a mandatory onboarding process (register committee → upload voter file → set budget → activate first outreach). Rules fire automatically: if donation amount &gt; $2,700 then flag for FEC review. No developer required.</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BGOP CURRENT STATE</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E20 Brain has 905 triggers but they are hardcoded in Python. There is no visual process flow for campaign onboarding. Business rules are embedded in application logic and invisible to non-developers. No guided workflow surfaces in the Inspinia UI.</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THE GAP</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No visual process designer. No guided onboarding for new candidates. Business rules are invisible to operators. Non-developers cannot configure automation without developer help.</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MIMICRY STRATEGY</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Build three process layers: (1) Campaign Onboarding Flow — a stage-gated checklist in the Inspinia UI that walks every new candidate through 12 required setup steps before the platform activates their account. (2) Visual Rule Builder — an Inspinia interface where a campaign manager can configure simple if/then rules (if donor grade = A+ and days since last gift &gt; 90 then trigger reactivation sequence) without code. (3) E20 Brain Rule Registry — move all 905 triggers into a database table (trigger_registry) so they are visible, auditable, and togglable without code deployment.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18"/>
                <w:szCs w:val="18"/>
              </w:rPr>
              <w:t xml:space="preserve">PILLAR</w:t>
            </w:r>
          </w:p>
        </w:tc>
        <w:tc>
          <w:tcPr>
            <w:tcW w:type="dxa" w:w="756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22"/>
                <w:szCs w:val="22"/>
              </w:rPr>
              <w:t xml:space="preserve">06 — AUDIT LOG AND DIARY / ACTIVITY TIMELINE</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WHAT IT IS</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records every field change on every audited entity: who changed what, from what value, to what value, at what time. The Activity Timeline shows every interaction with a record chronologically: emails sent, calls logged, tasks completed, notes added, meetings attended. This is the complete relationship diary for every person.</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STRENGTH</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 candidate calls a major donor. The staff member logs the call. The next staffer who opens that donor record sees the full history: every email, every call, every event attendance, every donation, every volunteer shift — in one chronological feed.</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BGOP CURRENT STATE</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Individual ecosystems track their own events (email_opens, volunteer_shifts, donations) but there is no unified activity timeline per person. No field change audit trail. No call/meeting logging diary. Each ecosystem's history is siloed.</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THE GAP</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No unified relationship diary. Cannot see a complete history of all interactions with a person across all ecosystems in one view. No field-level audit trail. Critical for compliance (FEC audit trail) and relationship management.</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MIMICRY STRATEGY</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Build the Person Activity Timeline: a single bgop_activity_log table (activity_id, person_id, candidate_id, activity_type, ecosystem_source, subject, body, occurred_at, logged_by, related_record_id). Every ecosystem writes to this table on significant events. The Inspinia donor profile page displays this as a chronological timeline. Types include: Email Sent, Email Opened, SMS Sent, Call Logged, Donation Received, Event Attended, Volunteer Shift, Note Added, Meeting Logged, RVM Delivered, Direct Mail Sent.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18"/>
                <w:szCs w:val="18"/>
              </w:rPr>
              <w:t xml:space="preserve">PILLAR</w:t>
            </w:r>
          </w:p>
        </w:tc>
        <w:tc>
          <w:tcPr>
            <w:tcW w:type="dxa" w:w="756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22"/>
                <w:szCs w:val="22"/>
              </w:rPr>
              <w:t xml:space="preserve">07 — INTEGRATION LAYER — API, WEBHOOKS, VIRTUAL TABLES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WHAT IT IS</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exposes all data via OData REST Web API with standard CRUD, batch, and $filter/$expand/$select query syntax. Virtual Tables let external data (a SQL Server, an external API) appear as native D365 tables — you query them exactly like real tables. Webhooks push event notifications to external systems in real time.</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STRENGTH</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 third-party fundraising portal queries donor data from D365 as if it were local. A reporting tool subscribes to donation events via webhook and updates a financial dashboard in real time. Virtual Tables eliminate ETL pipelines for external data.</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BGOP CURRENT STATE</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FastAPI provides some endpoints but they are not standardized across all 59 ecosystems. Webhook delivery exists for some channels (SendGrid callbacks) but is not a platform-level service. External data (DataTrust, FEC, NCBOE) is imported via batch scripts, not virtual table equivalents.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THE GAP</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No unified API specification across all 59 ecosystems. No webhook registry. External data requires ETL rather than live querying. Third-party integrations are point solutions, not platform capabilities.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MIMICRY STRATEGY</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Define the BGOP Web API Standard: every ecosystem exposes endpoints following a consistent REST pattern (/api/v2/{ecosystem}/{entity}). Build a webhook_registry table (webhook_id, event_type, target_url, candidate_id, secret, active) so any external system can subscribe to platform events. Create Virtual Source connectors for DataTrust, FEC, and NCBOE so external data appears as queryable Supabase foreign tables.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18"/>
                <w:szCs w:val="18"/>
              </w:rPr>
              <w:t xml:space="preserve">PILLAR</w:t>
            </w:r>
          </w:p>
        </w:tc>
        <w:tc>
          <w:tcPr>
            <w:tcW w:type="dxa" w:w="756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22"/>
                <w:szCs w:val="22"/>
              </w:rPr>
              <w:t xml:space="preserve">08 — MULTI-TENANT / ENVIRONMENT ARCHITECTURE</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WHAT IT IS</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uses Environments — isolated containers with their own database, users, and customizations. Organizations run Dev, Test, and Production environments. Power Platform Admin Center governs all environments. Each environment can have different security, different solution versions, and different data — but share the same code base.</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STRENGTH</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 new feature is built and tested in the Dev environment. QA approves it in Test. A managed solution packages it and deploys to Production with zero downtime. If it fails, it is uninstalled. The 3,900 candidate tenants in Production are never exposed to experimental code.</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BGOP CURRENT STATE</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There is one Supabase project (isbgjpnbocdkeslofota) handling everything. No Dev/Test/Production separation. New migrations run directly against the production database. The Hetzner server runs production workloads alongside development work.</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THE GAP</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No environment separation. Every migration, every code change, every experiment runs against production data. A bad migration can destroy live donor data. No QA gate between development and production.</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MIMICRY STRATEGY</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Create three Supabase projects: BGOP-Dev, BGOP-Test, BGOP-Prod. Define environment promotion gates: code must pass automated tests in Dev, manual QA approval in Test, before Prod deployment. Tag all migrations with environment labels. Create BGOP-Staging on Hetzner that mirrors production infrastructure for load testing.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18"/>
                <w:szCs w:val="18"/>
              </w:rPr>
              <w:t xml:space="preserve">PILLAR</w:t>
            </w:r>
          </w:p>
        </w:tc>
        <w:tc>
          <w:tcPr>
            <w:tcW w:type="dxa" w:w="756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22"/>
                <w:szCs w:val="22"/>
              </w:rPr>
              <w:t xml:space="preserve">09 — AI BUILDER AND COPILOT — NO-CODE MACHINE LEARNING</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WHAT IT IS</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AI Builder lets non-developers build ML models through a wizard UI: upload examples, train a prediction model, publish it, use it in flows with no code. Copilot generates email drafts from CRM context, summarizes case histories, suggests next best actions — all surfaced inside the application UI without the user needing to know AI exists.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STRENGTH</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 campaign manager with no data science background builds a donor churn prediction model by uploading 500 examples of donors who lapsed. The model runs automatically on new donors and flags churn risk in the UI. No developer, no Python, no training required.</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BGOP CURRENT STATE</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E21 ML Clustering, E13 AI Hub, and E20 Brain provide powerful AI capabilities but they are developer-facing. A campaign manager cannot configure, trigger, or inspect AI models without developer help. AI outputs are not surfaced contextually in the Inspinia UI.</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THE GAP</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AI is invisible to campaign operators. No no-code ML configuration. No in-UI AI assistance (Copilot equivalent). The platform has the intelligence but candidates cannot access it without a developer intermediary.</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MIMICRY STRATEGY</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Build the BGOP AI Assistant Panel (from the PromptGoat architecture): a slide-out panel on every Inspinia page that surfaces AI recommendations contextually. Surface E21 ML scores inline on donor cards. Build a Prediction Model Registry UI where a campaign manager can see what ML models are running on their data, what the scores mean, and toggle model features on or off. Add E20 Brain Explanation Mode: when a trigger fires, show the candidate WHY (this donor was contacted today because their last gift was 94 days ago and their issue alignment score is 87).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18"/>
                <w:szCs w:val="18"/>
              </w:rPr>
              <w:t xml:space="preserve">PILLAR</w:t>
            </w:r>
          </w:p>
        </w:tc>
        <w:tc>
          <w:tcPr>
            <w:tcW w:type="dxa" w:w="756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22"/>
                <w:szCs w:val="22"/>
              </w:rPr>
              <w:t xml:space="preserve">10 — QUALITY CONTROL — DUPLICATE DETECTION, DATA VALIDATION, SLAs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WHAT IT IS</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includes Duplicate Detection Rules that run on Save and flag potential duplicates before they enter the system. Field-level validation rules prevent bad data at entry. SLA (Service Level Agreements) enforce time-based rules: respond to a case within 4 hours or escalate. Data quality dashboards show completeness and accuracy scores across the entity population.</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STRENGTH</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 volunteer enters a donor who already exists. D365 flags the duplicate before saving and shows the existing record. A donation entry missing the employer field is blocked with an inline error message. FEC compliance SLA: process and reconcile every donation within 48 hours or escalate to the compliance team automatically.</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BGOP CURRENT STATE</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Identity resolution (Stages 1-70 of the remediation pipeline) is the platform's primary quality control mechanism but it runs as a batch process, not at point of entry. There are no entry-time duplicate detection rules, no field-level validation on UI forms, and no SLA enforcement for compliance deadlines.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THE GAP</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Data quality is corrected after entry rather than prevented at entry. Duplicates enter the system continuously and require expensive batch remediation. FEC compliance deadlines have no automated enforcement. No data quality scoring visible to operators.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MIMICRY STRATEGY</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Implement three quality layers: (1) Entry-time duplicate detection: before saving any new person record, run a blocking query against person_spine using the same matching logic as the identity resolution pipeline — surface matches inline. (2) Field validation rules: define required fields per entity type and enforce them in the FastAPI layer before DB write. (3) Compliance SLA table: define deadline rules (donation → FEC report within X days) and build E20 Brain triggers that escalate when SLA breaches approach.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18"/>
                <w:szCs w:val="18"/>
              </w:rPr>
              <w:t xml:space="preserve">PILLAR</w:t>
            </w:r>
          </w:p>
        </w:tc>
        <w:tc>
          <w:tcPr>
            <w:tcW w:type="dxa" w:w="756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22"/>
                <w:szCs w:val="22"/>
              </w:rPr>
              <w:t xml:space="preserve">11 — ADD-ON / PLUG-IN MARKETPLACE ARCHITECTURE</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WHAT IT IS</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AppSource is D365's marketplace for third-party solutions. ISVs package their app as a managed D365 solution with a defined schema, security roles, and UI components. Organizations install it in one click. The add-on reads and writes to Dataverse using the standard API — it has no special privileges. Uninstalling removes all traces cleanly.</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STRENGTH</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 political data firm packages their voter propensity models as a D365 add-on. A campaign installs it in one click. The scores appear on donor records automatically. The firm updates their model — the campaign gets the update through the standard solution upgrade mechanism.</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BGOP CURRENT STATE</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BroyhillGOP has 59 built-in ecosystems but no add-on architecture. A third-party cannot extend the platform without direct access to the codebase. There is no installation mechanism, no sandbox, no marketplace, no clean uninstall.</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THE GAP</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The platform cannot be extended without developer access. Third-party data vendors, political technology firms, and specialized tools cannot integrate as first-class platform citizens. This limits the platform's commercial scalability as a licensed product.</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MIMICRY STRATEGY</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Design the BGOP Extension Framework: define an ecosystem_extension_manifest.json schema (name, version, publisher, required_tables[], optional_tables[], api_endpoints[], ui_components[], permissions_required[]). Build an extension installer that reads the manifest, provisions the required tables, registers the API endpoints, and adds the UI components to Inspinia menus. This is the foundation for licensing BroyhillGOP to other state Republican parties as a platform.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18"/>
                <w:szCs w:val="18"/>
              </w:rPr>
              <w:t xml:space="preserve">PILLAR</w:t>
            </w:r>
          </w:p>
        </w:tc>
        <w:tc>
          <w:tcPr>
            <w:tcW w:type="dxa" w:w="7560"/>
            <w:tcBorders>
              <w:top w:val="single" w:color="CDD3DB" w:sz="1"/>
              <w:left w:val="single" w:color="CDD3DB" w:sz="1"/>
              <w:bottom w:val="single" w:color="CDD3DB" w:sz="1"/>
              <w:right w:val="single" w:color="CDD3DB" w:sz="1"/>
            </w:tcBorders>
            <w:shd w:fill="1B3A6B" w:val="clear"/>
            <w:tcMar>
              <w:top w:type="dxa" w:w="80"/>
              <w:left w:type="dxa" w:w="130"/>
              <w:bottom w:type="dxa" w:w="80"/>
              <w:right w:type="dxa" w:w="130"/>
            </w:tcMar>
          </w:tcPr>
          <w:p>
            <w:r>
              <w:rPr>
                <w:rFonts w:ascii="Arial" w:cs="Arial" w:eastAsia="Arial" w:hAnsi="Arial"/>
                <w:b/>
                <w:bCs/>
                <w:color w:val="FFFFFF"/>
                <w:sz w:val="22"/>
                <w:szCs w:val="22"/>
              </w:rPr>
              <w:t xml:space="preserve">12 — INTELLIGENCE BRAIN CENTER — D365 COPILOT + CUSTOMER INSIGHTS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WHAT IT IS</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Dynamics 365 Customer Insights is the AI orchestration layer: it ingests data from all D365 apps, builds unified customer profiles, calculates predictive scores (churn probability, lifetime value, propensity to buy), runs AI-generated segmentation, and surfaces next best action recommendations across every application in real time. This is the D365 equivalent of a central AI brain.</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D365 STRENGTH</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 unified profile for every customer across Sales, Marketing, and Service. Predictive churn scores surface in the sales rep's UI before the rep even knows the customer is at risk. AI-generated segments update automatically as behavior changes. Next best actions recommended contextually at every touchpoint.</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BGOP CURRENT STATE</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E20 Intelligence Brain with 905 triggers IS the BroyhillGOP equivalent of Customer Insights. It is conceptually the most advanced component in the platform. However, E20 is not yet wired to E59 Microsegment Intelligence, the E42 news feeds do not feed into E20 scoring, and E20 outputs are not surfaced visually in the candidate-facing Inspinia UI.</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THE GAP</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E20 Brain operates in isolation from E59 (microsegments), from RSS news intelligence, and from the candidate-facing UI. The brain fires triggers but candidates cannot see why, what the scores mean, or how to influence them. The intelligence exists but is not accessible to operators.</w:t>
            </w:r>
          </w:p>
        </w:tc>
      </w:tr>
      <w:tr>
        <w:tc>
          <w:tcPr>
            <w:tcW w:type="dxa" w:w="1800"/>
            <w:tcBorders>
              <w:top w:val="single" w:color="CDD3DB" w:sz="1"/>
              <w:left w:val="single" w:color="CDD3DB" w:sz="1"/>
              <w:bottom w:val="single" w:color="CDD3DB" w:sz="1"/>
              <w:right w:val="single" w:color="CDD3DB" w:sz="1"/>
            </w:tcBorders>
            <w:shd w:fill="D5E4F7" w:val="clear"/>
            <w:tcMar>
              <w:top w:type="dxa" w:w="80"/>
              <w:left w:type="dxa" w:w="130"/>
              <w:bottom w:type="dxa" w:w="80"/>
              <w:right w:type="dxa" w:w="130"/>
            </w:tcMar>
          </w:tcPr>
          <w:p>
            <w:r>
              <w:rPr>
                <w:rFonts w:ascii="Arial" w:cs="Arial" w:eastAsia="Arial" w:hAnsi="Arial"/>
                <w:b/>
                <w:bCs/>
                <w:color w:val="2E5FA3"/>
                <w:sz w:val="18"/>
                <w:szCs w:val="18"/>
              </w:rPr>
              <w:t xml:space="preserve">MIMICRY STRATEGY</w:t>
            </w:r>
          </w:p>
        </w:tc>
        <w:tc>
          <w:tcPr>
            <w:tcW w:type="dxa" w:w="75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Wire E20 Brain to all four missing inputs: (1) E59 Microsegment scores feed into E20 person scoring. (2) E42 news events trigger E20 rapid response sequences. (3) E58 Finance Committee clout scores weight E20 outreach priority. (4) E20 outputs surface in Inspinia as the Campaign Command Center dashboard — a real-time feed of GO/NO-GO decisions, active sequences, fatigue blocks, and AI recommendations visible to the candidate without technical knowledge.</w:t>
            </w:r>
          </w:p>
        </w:tc>
      </w:tr>
    </w:tbl>
    <w:p>
      <w:r>
        <w:br w:type="page"/>
      </w:r>
    </w:p>
    <w:p>
      <w:pPr>
        <w:pStyle w:val="Heading1"/>
        <w:spacing w:after="180" w:before="360"/>
      </w:pPr>
      <w:r>
        <w:rPr>
          <w:rFonts w:ascii="Arial" w:cs="Arial" w:eastAsia="Arial" w:hAnsi="Arial"/>
          <w:b/>
          <w:bCs/>
          <w:color w:val="1B3A6B"/>
          <w:sz w:val="36"/>
          <w:szCs w:val="36"/>
        </w:rPr>
        <w:t xml:space="preserve">PART II: GAP ANALYSIS — D365 VS. BROYHILLGOP</w:t>
      </w:r>
    </w:p>
    <w:p>
      <w:pPr>
        <w:pBdr>
          <w:bottom w:val="single" w:color="2E5FA3" w:sz="4" w:space="1"/>
        </w:pBdr>
        <w:spacing w:after="120" w:before="120"/>
      </w:pPr>
      <w:r>
        <w:t xml:space="preserve"/>
      </w:r>
    </w:p>
    <w:p>
      <w:pPr>
        <w:spacing w:after="100" w:before="60"/>
      </w:pPr>
      <w:r>
        <w:rPr>
          <w:rFonts w:ascii="Arial" w:cs="Arial" w:eastAsia="Arial" w:hAnsi="Arial"/>
          <w:color w:val="1A1A2E"/>
          <w:sz w:val="22"/>
          <w:szCs w:val="22"/>
        </w:rPr>
        <w:t xml:space="preserve">Twelve pillars, twelve gap assessments. The table below summarizes current build status and implementation priority for each pillar.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000"/>
        <w:gridCol w:w="2000"/>
        <w:gridCol w:w="1960"/>
      </w:tblGrid>
      <w:tr>
        <w:tc>
          <w:tcPr>
            <w:tcW w:type="dxa" w:w="800"/>
            <w:tcBorders>
              <w:top w:val="single" w:color="CDD3DB" w:sz="1"/>
              <w:left w:val="single" w:color="CDD3DB" w:sz="1"/>
              <w:bottom w:val="single" w:color="CDD3DB" w:sz="1"/>
              <w:right w:val="single" w:color="CDD3DB" w:sz="1"/>
            </w:tcBorders>
            <w:shd w:fill="2E5FA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t>
            </w:r>
          </w:p>
        </w:tc>
        <w:tc>
          <w:tcPr>
            <w:tcW w:type="dxa" w:w="2600"/>
            <w:tcBorders>
              <w:top w:val="single" w:color="CDD3DB" w:sz="1"/>
              <w:left w:val="single" w:color="CDD3DB" w:sz="1"/>
              <w:bottom w:val="single" w:color="CDD3DB" w:sz="1"/>
              <w:right w:val="single" w:color="CDD3DB" w:sz="1"/>
            </w:tcBorders>
            <w:shd w:fill="2E5FA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D365 PILLAR</w:t>
            </w:r>
          </w:p>
        </w:tc>
        <w:tc>
          <w:tcPr>
            <w:tcW w:type="dxa" w:w="2000"/>
            <w:tcBorders>
              <w:top w:val="single" w:color="CDD3DB" w:sz="1"/>
              <w:left w:val="single" w:color="CDD3DB" w:sz="1"/>
              <w:bottom w:val="single" w:color="CDD3DB" w:sz="1"/>
              <w:right w:val="single" w:color="CDD3DB" w:sz="1"/>
            </w:tcBorders>
            <w:shd w:fill="2E5FA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BGOP EQUIVALENT</w:t>
            </w:r>
          </w:p>
        </w:tc>
        <w:tc>
          <w:tcPr>
            <w:tcW w:type="dxa" w:w="2000"/>
            <w:tcBorders>
              <w:top w:val="single" w:color="CDD3DB" w:sz="1"/>
              <w:left w:val="single" w:color="CDD3DB" w:sz="1"/>
              <w:bottom w:val="single" w:color="CDD3DB" w:sz="1"/>
              <w:right w:val="single" w:color="CDD3DB" w:sz="1"/>
            </w:tcBorders>
            <w:shd w:fill="2E5FA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1960"/>
            <w:tcBorders>
              <w:top w:val="single" w:color="CDD3DB" w:sz="1"/>
              <w:left w:val="single" w:color="CDD3DB" w:sz="1"/>
              <w:bottom w:val="single" w:color="CDD3DB" w:sz="1"/>
              <w:right w:val="single" w:color="CDD3DB" w:sz="1"/>
            </w:tcBorders>
            <w:shd w:fill="2E5FA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PRIORITY</w:t>
            </w:r>
          </w:p>
        </w:tc>
      </w:tr>
      <w:tr>
        <w:tc>
          <w:tcPr>
            <w:tcW w:type="dxa" w:w="8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1</w:t>
            </w:r>
          </w:p>
        </w:tc>
        <w:tc>
          <w:tcPr>
            <w:tcW w:type="dxa" w:w="26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Dataverse (Unified Data Model)</w:t>
            </w:r>
          </w:p>
        </w:tc>
        <w:tc>
          <w:tcPr>
            <w:tcW w:type="dxa" w:w="20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Person Spine + Supabase</w:t>
            </w:r>
          </w:p>
        </w:tc>
        <w:tc>
          <w:tcPr>
            <w:tcW w:type="dxa" w:w="2000"/>
            <w:tcBorders>
              <w:top w:val="single" w:color="CDD3DB" w:sz="1"/>
              <w:left w:val="single" w:color="CDD3DB" w:sz="1"/>
              <w:bottom w:val="single" w:color="CDD3DB" w:sz="1"/>
              <w:right w:val="single" w:color="CDD3DB" w:sz="1"/>
            </w:tcBorders>
            <w:shd w:fill="C62828"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P2</w:t>
            </w:r>
          </w:p>
        </w:tc>
        <w:tc>
          <w:tcPr>
            <w:tcW w:type="dxa" w:w="1960"/>
            <w:tcBorders>
              <w:top w:val="single" w:color="CDD3DB" w:sz="1"/>
              <w:left w:val="single" w:color="CDD3DB" w:sz="1"/>
              <w:bottom w:val="single" w:color="CDD3DB" w:sz="1"/>
              <w:right w:val="single" w:color="CDD3DB" w:sz="1"/>
            </w:tcBorders>
            <w:shd w:fill="2E7D32" w:val="clear"/>
            <w:tcMar>
              <w:top w:type="dxa" w:w="80"/>
              <w:left w:type="dxa" w:w="130"/>
              <w:bottom w:type="dxa" w:w="80"/>
              <w:right w:type="dxa" w:w="130"/>
            </w:tcMar>
          </w:tcPr>
          <w:p>
            <w:pPr>
              <w:jc w:val="center"/>
            </w:pPr>
            <w:r>
              <w:rPr>
                <w:rFonts w:ascii="Arial" w:cs="Arial" w:eastAsia="Arial" w:hAnsi="Arial"/>
                <w:b/>
                <w:bCs/>
                <w:color w:val="FFFFFF"/>
                <w:sz w:val="20"/>
                <w:szCs w:val="20"/>
              </w:rPr>
            </w:r>
          </w:p>
        </w:tc>
      </w:tr>
      <w:tr>
        <w:tc>
          <w:tcPr>
            <w:tcW w:type="dxa" w:w="8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2</w:t>
            </w:r>
          </w:p>
        </w:tc>
        <w:tc>
          <w:tcPr>
            <w:tcW w:type="dxa" w:w="26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Solution Framework (Deployments)</w:t>
            </w:r>
          </w:p>
        </w:tc>
        <w:tc>
          <w:tcPr>
            <w:tcW w:type="dxa" w:w="20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59 Ecosystem Python Files</w:t>
            </w:r>
          </w:p>
        </w:tc>
        <w:tc>
          <w:tcPr>
            <w:tcW w:type="dxa" w:w="2000"/>
            <w:tcBorders>
              <w:top w:val="single" w:color="CDD3DB" w:sz="1"/>
              <w:left w:val="single" w:color="CDD3DB" w:sz="1"/>
              <w:bottom w:val="single" w:color="CDD3DB" w:sz="1"/>
              <w:right w:val="single" w:color="CDD3DB" w:sz="1"/>
            </w:tcBorders>
            <w:shd w:fill="C62828"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P2</w:t>
            </w:r>
          </w:p>
        </w:tc>
        <w:tc>
          <w:tcPr>
            <w:tcW w:type="dxa" w:w="1960"/>
            <w:tcBorders>
              <w:top w:val="single" w:color="CDD3DB" w:sz="1"/>
              <w:left w:val="single" w:color="CDD3DB" w:sz="1"/>
              <w:bottom w:val="single" w:color="CDD3DB" w:sz="1"/>
              <w:right w:val="single" w:color="CDD3DB" w:sz="1"/>
            </w:tcBorders>
            <w:shd w:fill="2E7D32" w:val="clear"/>
            <w:tcMar>
              <w:top w:type="dxa" w:w="80"/>
              <w:left w:type="dxa" w:w="130"/>
              <w:bottom w:type="dxa" w:w="80"/>
              <w:right w:type="dxa" w:w="130"/>
            </w:tcMar>
          </w:tcPr>
          <w:p>
            <w:pPr>
              <w:jc w:val="center"/>
            </w:pPr>
            <w:r>
              <w:rPr>
                <w:rFonts w:ascii="Arial" w:cs="Arial" w:eastAsia="Arial" w:hAnsi="Arial"/>
                <w:b/>
                <w:bCs/>
                <w:color w:val="FFFFFF"/>
                <w:sz w:val="20"/>
                <w:szCs w:val="20"/>
              </w:rPr>
            </w:r>
          </w:p>
        </w:tc>
      </w:tr>
      <w:tr>
        <w:tc>
          <w:tcPr>
            <w:tcW w:type="dxa" w:w="8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3</w:t>
            </w:r>
          </w:p>
        </w:tc>
        <w:tc>
          <w:tcPr>
            <w:tcW w:type="dxa" w:w="26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Plugin / Trigger Architecture</w:t>
            </w:r>
          </w:p>
        </w:tc>
        <w:tc>
          <w:tcPr>
            <w:tcW w:type="dxa" w:w="20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Supabase Triggers + E20 IFTTT</w:t>
            </w:r>
          </w:p>
        </w:tc>
        <w:tc>
          <w:tcPr>
            <w:tcW w:type="dxa" w:w="2000"/>
            <w:tcBorders>
              <w:top w:val="single" w:color="CDD3DB" w:sz="1"/>
              <w:left w:val="single" w:color="CDD3DB" w:sz="1"/>
              <w:bottom w:val="single" w:color="CDD3DB" w:sz="1"/>
              <w:right w:val="single" w:color="CDD3DB" w:sz="1"/>
            </w:tcBorders>
            <w:shd w:fill="C62828"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P1</w:t>
            </w:r>
          </w:p>
        </w:tc>
        <w:tc>
          <w:tcPr>
            <w:tcW w:type="dxa" w:w="1960"/>
            <w:tcBorders>
              <w:top w:val="single" w:color="CDD3DB" w:sz="1"/>
              <w:left w:val="single" w:color="CDD3DB" w:sz="1"/>
              <w:bottom w:val="single" w:color="CDD3DB" w:sz="1"/>
              <w:right w:val="single" w:color="CDD3DB" w:sz="1"/>
            </w:tcBorders>
            <w:shd w:fill="2E7D32" w:val="clear"/>
            <w:tcMar>
              <w:top w:type="dxa" w:w="80"/>
              <w:left w:type="dxa" w:w="130"/>
              <w:bottom w:type="dxa" w:w="80"/>
              <w:right w:type="dxa" w:w="130"/>
            </w:tcMar>
          </w:tcPr>
          <w:p>
            <w:pPr>
              <w:jc w:val="center"/>
            </w:pPr>
            <w:r>
              <w:rPr>
                <w:rFonts w:ascii="Arial" w:cs="Arial" w:eastAsia="Arial" w:hAnsi="Arial"/>
                <w:b/>
                <w:bCs/>
                <w:color w:val="FFFFFF"/>
                <w:sz w:val="20"/>
                <w:szCs w:val="20"/>
              </w:rPr>
            </w:r>
          </w:p>
        </w:tc>
      </w:tr>
      <w:tr>
        <w:tc>
          <w:tcPr>
            <w:tcW w:type="dxa" w:w="8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4</w:t>
            </w:r>
          </w:p>
        </w:tc>
        <w:tc>
          <w:tcPr>
            <w:tcW w:type="dxa" w:w="26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Security Architecture (RBAC)</w:t>
            </w:r>
          </w:p>
        </w:tc>
        <w:tc>
          <w:tcPr>
            <w:tcW w:type="dxa" w:w="20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candidate_id Tenant Key Only</w:t>
            </w:r>
          </w:p>
        </w:tc>
        <w:tc>
          <w:tcPr>
            <w:tcW w:type="dxa" w:w="2000"/>
            <w:tcBorders>
              <w:top w:val="single" w:color="CDD3DB" w:sz="1"/>
              <w:left w:val="single" w:color="CDD3DB" w:sz="1"/>
              <w:bottom w:val="single" w:color="CDD3DB" w:sz="1"/>
              <w:right w:val="single" w:color="CDD3DB" w:sz="1"/>
            </w:tcBorders>
            <w:shd w:fill="C62828"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P1</w:t>
            </w:r>
          </w:p>
        </w:tc>
        <w:tc>
          <w:tcPr>
            <w:tcW w:type="dxa" w:w="1960"/>
            <w:tcBorders>
              <w:top w:val="single" w:color="CDD3DB" w:sz="1"/>
              <w:left w:val="single" w:color="CDD3DB" w:sz="1"/>
              <w:bottom w:val="single" w:color="CDD3DB" w:sz="1"/>
              <w:right w:val="single" w:color="CDD3DB" w:sz="1"/>
            </w:tcBorders>
            <w:shd w:fill="2E7D32" w:val="clear"/>
            <w:tcMar>
              <w:top w:type="dxa" w:w="80"/>
              <w:left w:type="dxa" w:w="130"/>
              <w:bottom w:type="dxa" w:w="80"/>
              <w:right w:type="dxa" w:w="130"/>
            </w:tcMar>
          </w:tcPr>
          <w:p>
            <w:pPr>
              <w:jc w:val="center"/>
            </w:pPr>
            <w:r>
              <w:rPr>
                <w:rFonts w:ascii="Arial" w:cs="Arial" w:eastAsia="Arial" w:hAnsi="Arial"/>
                <w:b/>
                <w:bCs/>
                <w:color w:val="FFFFFF"/>
                <w:sz w:val="20"/>
                <w:szCs w:val="20"/>
              </w:rPr>
            </w:r>
          </w:p>
        </w:tc>
      </w:tr>
      <w:tr>
        <w:tc>
          <w:tcPr>
            <w:tcW w:type="dxa" w:w="8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5</w:t>
            </w:r>
          </w:p>
        </w:tc>
        <w:tc>
          <w:tcPr>
            <w:tcW w:type="dxa" w:w="26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Process Engine (Flows + Rules)</w:t>
            </w:r>
          </w:p>
        </w:tc>
        <w:tc>
          <w:tcPr>
            <w:tcW w:type="dxa" w:w="20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E20 Brain Hardcoded Triggers</w:t>
            </w:r>
          </w:p>
        </w:tc>
        <w:tc>
          <w:tcPr>
            <w:tcW w:type="dxa" w:w="2000"/>
            <w:tcBorders>
              <w:top w:val="single" w:color="CDD3DB" w:sz="1"/>
              <w:left w:val="single" w:color="CDD3DB" w:sz="1"/>
              <w:bottom w:val="single" w:color="CDD3DB" w:sz="1"/>
              <w:right w:val="single" w:color="CDD3DB" w:sz="1"/>
            </w:tcBorders>
            <w:shd w:fill="C62828"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P1</w:t>
            </w:r>
          </w:p>
        </w:tc>
        <w:tc>
          <w:tcPr>
            <w:tcW w:type="dxa" w:w="1960"/>
            <w:tcBorders>
              <w:top w:val="single" w:color="CDD3DB" w:sz="1"/>
              <w:left w:val="single" w:color="CDD3DB" w:sz="1"/>
              <w:bottom w:val="single" w:color="CDD3DB" w:sz="1"/>
              <w:right w:val="single" w:color="CDD3DB" w:sz="1"/>
            </w:tcBorders>
            <w:shd w:fill="2E7D32" w:val="clear"/>
            <w:tcMar>
              <w:top w:type="dxa" w:w="80"/>
              <w:left w:type="dxa" w:w="130"/>
              <w:bottom w:type="dxa" w:w="80"/>
              <w:right w:type="dxa" w:w="130"/>
            </w:tcMar>
          </w:tcPr>
          <w:p>
            <w:pPr>
              <w:jc w:val="center"/>
            </w:pPr>
            <w:r>
              <w:rPr>
                <w:rFonts w:ascii="Arial" w:cs="Arial" w:eastAsia="Arial" w:hAnsi="Arial"/>
                <w:b/>
                <w:bCs/>
                <w:color w:val="FFFFFF"/>
                <w:sz w:val="20"/>
                <w:szCs w:val="20"/>
              </w:rPr>
            </w:r>
          </w:p>
        </w:tc>
      </w:tr>
      <w:tr>
        <w:tc>
          <w:tcPr>
            <w:tcW w:type="dxa" w:w="8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6</w:t>
            </w:r>
          </w:p>
        </w:tc>
        <w:tc>
          <w:tcPr>
            <w:tcW w:type="dxa" w:w="26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Audit Log + Activity Timeline</w:t>
            </w:r>
          </w:p>
        </w:tc>
        <w:tc>
          <w:tcPr>
            <w:tcW w:type="dxa" w:w="20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Siloed Per-Ecosystem Logs</w:t>
            </w:r>
          </w:p>
        </w:tc>
        <w:tc>
          <w:tcPr>
            <w:tcW w:type="dxa" w:w="2000"/>
            <w:tcBorders>
              <w:top w:val="single" w:color="CDD3DB" w:sz="1"/>
              <w:left w:val="single" w:color="CDD3DB" w:sz="1"/>
              <w:bottom w:val="single" w:color="CDD3DB" w:sz="1"/>
              <w:right w:val="single" w:color="CDD3DB" w:sz="1"/>
            </w:tcBorders>
            <w:shd w:fill="C62828"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P1</w:t>
            </w:r>
          </w:p>
        </w:tc>
        <w:tc>
          <w:tcPr>
            <w:tcW w:type="dxa" w:w="1960"/>
            <w:tcBorders>
              <w:top w:val="single" w:color="CDD3DB" w:sz="1"/>
              <w:left w:val="single" w:color="CDD3DB" w:sz="1"/>
              <w:bottom w:val="single" w:color="CDD3DB" w:sz="1"/>
              <w:right w:val="single" w:color="CDD3DB" w:sz="1"/>
            </w:tcBorders>
            <w:shd w:fill="2E7D32" w:val="clear"/>
            <w:tcMar>
              <w:top w:type="dxa" w:w="80"/>
              <w:left w:type="dxa" w:w="130"/>
              <w:bottom w:type="dxa" w:w="80"/>
              <w:right w:type="dxa" w:w="130"/>
            </w:tcMar>
          </w:tcPr>
          <w:p>
            <w:pPr>
              <w:jc w:val="center"/>
            </w:pPr>
            <w:r>
              <w:rPr>
                <w:rFonts w:ascii="Arial" w:cs="Arial" w:eastAsia="Arial" w:hAnsi="Arial"/>
                <w:b/>
                <w:bCs/>
                <w:color w:val="FFFFFF"/>
                <w:sz w:val="20"/>
                <w:szCs w:val="20"/>
              </w:rPr>
            </w:r>
          </w:p>
        </w:tc>
      </w:tr>
      <w:tr>
        <w:tc>
          <w:tcPr>
            <w:tcW w:type="dxa" w:w="8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7</w:t>
            </w:r>
          </w:p>
        </w:tc>
        <w:tc>
          <w:tcPr>
            <w:tcW w:type="dxa" w:w="26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Integration Layer (API + Webhooks)</w:t>
            </w:r>
          </w:p>
        </w:tc>
        <w:tc>
          <w:tcPr>
            <w:tcW w:type="dxa" w:w="20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FastAPI Partial Coverage</w:t>
            </w:r>
          </w:p>
        </w:tc>
        <w:tc>
          <w:tcPr>
            <w:tcW w:type="dxa" w:w="2000"/>
            <w:tcBorders>
              <w:top w:val="single" w:color="CDD3DB" w:sz="1"/>
              <w:left w:val="single" w:color="CDD3DB" w:sz="1"/>
              <w:bottom w:val="single" w:color="CDD3DB" w:sz="1"/>
              <w:right w:val="single" w:color="CDD3DB" w:sz="1"/>
            </w:tcBorders>
            <w:shd w:fill="C62828"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P2</w:t>
            </w:r>
          </w:p>
        </w:tc>
        <w:tc>
          <w:tcPr>
            <w:tcW w:type="dxa" w:w="1960"/>
            <w:tcBorders>
              <w:top w:val="single" w:color="CDD3DB" w:sz="1"/>
              <w:left w:val="single" w:color="CDD3DB" w:sz="1"/>
              <w:bottom w:val="single" w:color="CDD3DB" w:sz="1"/>
              <w:right w:val="single" w:color="CDD3DB" w:sz="1"/>
            </w:tcBorders>
            <w:shd w:fill="2E7D32" w:val="clear"/>
            <w:tcMar>
              <w:top w:type="dxa" w:w="80"/>
              <w:left w:type="dxa" w:w="130"/>
              <w:bottom w:type="dxa" w:w="80"/>
              <w:right w:type="dxa" w:w="130"/>
            </w:tcMar>
          </w:tcPr>
          <w:p>
            <w:pPr>
              <w:jc w:val="center"/>
            </w:pPr>
            <w:r>
              <w:rPr>
                <w:rFonts w:ascii="Arial" w:cs="Arial" w:eastAsia="Arial" w:hAnsi="Arial"/>
                <w:b/>
                <w:bCs/>
                <w:color w:val="FFFFFF"/>
                <w:sz w:val="20"/>
                <w:szCs w:val="20"/>
              </w:rPr>
            </w:r>
          </w:p>
        </w:tc>
      </w:tr>
      <w:tr>
        <w:tc>
          <w:tcPr>
            <w:tcW w:type="dxa" w:w="8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8</w:t>
            </w:r>
          </w:p>
        </w:tc>
        <w:tc>
          <w:tcPr>
            <w:tcW w:type="dxa" w:w="26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Multi-Tenant Environments</w:t>
            </w:r>
          </w:p>
        </w:tc>
        <w:tc>
          <w:tcPr>
            <w:tcW w:type="dxa" w:w="20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Single Supabase Project</w:t>
            </w:r>
          </w:p>
        </w:tc>
        <w:tc>
          <w:tcPr>
            <w:tcW w:type="dxa" w:w="2000"/>
            <w:tcBorders>
              <w:top w:val="single" w:color="CDD3DB" w:sz="1"/>
              <w:left w:val="single" w:color="CDD3DB" w:sz="1"/>
              <w:bottom w:val="single" w:color="CDD3DB" w:sz="1"/>
              <w:right w:val="single" w:color="CDD3DB" w:sz="1"/>
            </w:tcBorders>
            <w:shd w:fill="C62828"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P1</w:t>
            </w:r>
          </w:p>
        </w:tc>
        <w:tc>
          <w:tcPr>
            <w:tcW w:type="dxa" w:w="1960"/>
            <w:tcBorders>
              <w:top w:val="single" w:color="CDD3DB" w:sz="1"/>
              <w:left w:val="single" w:color="CDD3DB" w:sz="1"/>
              <w:bottom w:val="single" w:color="CDD3DB" w:sz="1"/>
              <w:right w:val="single" w:color="CDD3DB" w:sz="1"/>
            </w:tcBorders>
            <w:shd w:fill="2E7D32" w:val="clear"/>
            <w:tcMar>
              <w:top w:type="dxa" w:w="80"/>
              <w:left w:type="dxa" w:w="130"/>
              <w:bottom w:type="dxa" w:w="80"/>
              <w:right w:type="dxa" w:w="130"/>
            </w:tcMar>
          </w:tcPr>
          <w:p>
            <w:pPr>
              <w:jc w:val="center"/>
            </w:pPr>
            <w:r>
              <w:rPr>
                <w:rFonts w:ascii="Arial" w:cs="Arial" w:eastAsia="Arial" w:hAnsi="Arial"/>
                <w:b/>
                <w:bCs/>
                <w:color w:val="FFFFFF"/>
                <w:sz w:val="20"/>
                <w:szCs w:val="20"/>
              </w:rPr>
            </w:r>
          </w:p>
        </w:tc>
      </w:tr>
      <w:tr>
        <w:tc>
          <w:tcPr>
            <w:tcW w:type="dxa" w:w="8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9</w:t>
            </w:r>
          </w:p>
        </w:tc>
        <w:tc>
          <w:tcPr>
            <w:tcW w:type="dxa" w:w="26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AI Builder (No-Code ML)</w:t>
            </w:r>
          </w:p>
        </w:tc>
        <w:tc>
          <w:tcPr>
            <w:tcW w:type="dxa" w:w="20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E21 + E13 + E20 Dev-Facing</w:t>
            </w:r>
          </w:p>
        </w:tc>
        <w:tc>
          <w:tcPr>
            <w:tcW w:type="dxa" w:w="2000"/>
            <w:tcBorders>
              <w:top w:val="single" w:color="CDD3DB" w:sz="1"/>
              <w:left w:val="single" w:color="CDD3DB" w:sz="1"/>
              <w:bottom w:val="single" w:color="CDD3DB" w:sz="1"/>
              <w:right w:val="single" w:color="CDD3DB" w:sz="1"/>
            </w:tcBorders>
            <w:shd w:fill="C62828"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P2</w:t>
            </w:r>
          </w:p>
        </w:tc>
        <w:tc>
          <w:tcPr>
            <w:tcW w:type="dxa" w:w="1960"/>
            <w:tcBorders>
              <w:top w:val="single" w:color="CDD3DB" w:sz="1"/>
              <w:left w:val="single" w:color="CDD3DB" w:sz="1"/>
              <w:bottom w:val="single" w:color="CDD3DB" w:sz="1"/>
              <w:right w:val="single" w:color="CDD3DB" w:sz="1"/>
            </w:tcBorders>
            <w:shd w:fill="2E7D32" w:val="clear"/>
            <w:tcMar>
              <w:top w:type="dxa" w:w="80"/>
              <w:left w:type="dxa" w:w="130"/>
              <w:bottom w:type="dxa" w:w="80"/>
              <w:right w:type="dxa" w:w="130"/>
            </w:tcMar>
          </w:tcPr>
          <w:p>
            <w:pPr>
              <w:jc w:val="center"/>
            </w:pPr>
            <w:r>
              <w:rPr>
                <w:rFonts w:ascii="Arial" w:cs="Arial" w:eastAsia="Arial" w:hAnsi="Arial"/>
                <w:b/>
                <w:bCs/>
                <w:color w:val="FFFFFF"/>
                <w:sz w:val="20"/>
                <w:szCs w:val="20"/>
              </w:rPr>
            </w:r>
          </w:p>
        </w:tc>
      </w:tr>
      <w:tr>
        <w:tc>
          <w:tcPr>
            <w:tcW w:type="dxa" w:w="8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10</w:t>
            </w:r>
          </w:p>
        </w:tc>
        <w:tc>
          <w:tcPr>
            <w:tcW w:type="dxa" w:w="26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Quality Control (Dedup + SLAs)</w:t>
            </w:r>
          </w:p>
        </w:tc>
        <w:tc>
          <w:tcPr>
            <w:tcW w:type="dxa" w:w="20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Batch Identity Resolution Only</w:t>
            </w:r>
          </w:p>
        </w:tc>
        <w:tc>
          <w:tcPr>
            <w:tcW w:type="dxa" w:w="2000"/>
            <w:tcBorders>
              <w:top w:val="single" w:color="CDD3DB" w:sz="1"/>
              <w:left w:val="single" w:color="CDD3DB" w:sz="1"/>
              <w:bottom w:val="single" w:color="CDD3DB" w:sz="1"/>
              <w:right w:val="single" w:color="CDD3DB" w:sz="1"/>
            </w:tcBorders>
            <w:shd w:fill="C62828"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P2</w:t>
            </w:r>
          </w:p>
        </w:tc>
        <w:tc>
          <w:tcPr>
            <w:tcW w:type="dxa" w:w="1960"/>
            <w:tcBorders>
              <w:top w:val="single" w:color="CDD3DB" w:sz="1"/>
              <w:left w:val="single" w:color="CDD3DB" w:sz="1"/>
              <w:bottom w:val="single" w:color="CDD3DB" w:sz="1"/>
              <w:right w:val="single" w:color="CDD3DB" w:sz="1"/>
            </w:tcBorders>
            <w:shd w:fill="2E7D32" w:val="clear"/>
            <w:tcMar>
              <w:top w:type="dxa" w:w="80"/>
              <w:left w:type="dxa" w:w="130"/>
              <w:bottom w:type="dxa" w:w="80"/>
              <w:right w:type="dxa" w:w="130"/>
            </w:tcMar>
          </w:tcPr>
          <w:p>
            <w:pPr>
              <w:jc w:val="center"/>
            </w:pPr>
            <w:r>
              <w:rPr>
                <w:rFonts w:ascii="Arial" w:cs="Arial" w:eastAsia="Arial" w:hAnsi="Arial"/>
                <w:b/>
                <w:bCs/>
                <w:color w:val="FFFFFF"/>
                <w:sz w:val="20"/>
                <w:szCs w:val="20"/>
              </w:rPr>
            </w:r>
          </w:p>
        </w:tc>
      </w:tr>
      <w:tr>
        <w:tc>
          <w:tcPr>
            <w:tcW w:type="dxa" w:w="8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11</w:t>
            </w:r>
          </w:p>
        </w:tc>
        <w:tc>
          <w:tcPr>
            <w:tcW w:type="dxa" w:w="26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Add-On / Extension Marketplace</w:t>
            </w:r>
          </w:p>
        </w:tc>
        <w:tc>
          <w:tcPr>
            <w:tcW w:type="dxa" w:w="20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Not Architected</w:t>
            </w:r>
          </w:p>
        </w:tc>
        <w:tc>
          <w:tcPr>
            <w:tcW w:type="dxa" w:w="2000"/>
            <w:tcBorders>
              <w:top w:val="single" w:color="CDD3DB" w:sz="1"/>
              <w:left w:val="single" w:color="CDD3DB" w:sz="1"/>
              <w:bottom w:val="single" w:color="CDD3DB" w:sz="1"/>
              <w:right w:val="single" w:color="CDD3DB" w:sz="1"/>
            </w:tcBorders>
            <w:shd w:fill="C62828"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P3</w:t>
            </w:r>
          </w:p>
        </w:tc>
        <w:tc>
          <w:tcPr>
            <w:tcW w:type="dxa" w:w="1960"/>
            <w:tcBorders>
              <w:top w:val="single" w:color="CDD3DB" w:sz="1"/>
              <w:left w:val="single" w:color="CDD3DB" w:sz="1"/>
              <w:bottom w:val="single" w:color="CDD3DB" w:sz="1"/>
              <w:right w:val="single" w:color="CDD3DB" w:sz="1"/>
            </w:tcBorders>
            <w:shd w:fill="2E7D32" w:val="clear"/>
            <w:tcMar>
              <w:top w:type="dxa" w:w="80"/>
              <w:left w:type="dxa" w:w="130"/>
              <w:bottom w:type="dxa" w:w="80"/>
              <w:right w:type="dxa" w:w="130"/>
            </w:tcMar>
          </w:tcPr>
          <w:p>
            <w:pPr>
              <w:jc w:val="center"/>
            </w:pPr>
            <w:r>
              <w:rPr>
                <w:rFonts w:ascii="Arial" w:cs="Arial" w:eastAsia="Arial" w:hAnsi="Arial"/>
                <w:b/>
                <w:bCs/>
                <w:color w:val="FFFFFF"/>
                <w:sz w:val="20"/>
                <w:szCs w:val="20"/>
              </w:rPr>
            </w:r>
          </w:p>
        </w:tc>
      </w:tr>
      <w:tr>
        <w:tc>
          <w:tcPr>
            <w:tcW w:type="dxa" w:w="8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12</w:t>
            </w:r>
          </w:p>
        </w:tc>
        <w:tc>
          <w:tcPr>
            <w:tcW w:type="dxa" w:w="26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Intelligence Brain Center</w:t>
            </w:r>
          </w:p>
        </w:tc>
        <w:tc>
          <w:tcPr>
            <w:tcW w:type="dxa" w:w="20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E20 Brain (Partially Wired)</w:t>
            </w:r>
          </w:p>
        </w:tc>
        <w:tc>
          <w:tcPr>
            <w:tcW w:type="dxa" w:w="2000"/>
            <w:tcBorders>
              <w:top w:val="single" w:color="CDD3DB" w:sz="1"/>
              <w:left w:val="single" w:color="CDD3DB" w:sz="1"/>
              <w:bottom w:val="single" w:color="CDD3DB" w:sz="1"/>
              <w:right w:val="single" w:color="CDD3DB" w:sz="1"/>
            </w:tcBorders>
            <w:shd w:fill="C62828"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P1</w:t>
            </w:r>
          </w:p>
        </w:tc>
        <w:tc>
          <w:tcPr>
            <w:tcW w:type="dxa" w:w="1960"/>
            <w:tcBorders>
              <w:top w:val="single" w:color="CDD3DB" w:sz="1"/>
              <w:left w:val="single" w:color="CDD3DB" w:sz="1"/>
              <w:bottom w:val="single" w:color="CDD3DB" w:sz="1"/>
              <w:right w:val="single" w:color="CDD3DB" w:sz="1"/>
            </w:tcBorders>
            <w:shd w:fill="2E7D32" w:val="clear"/>
            <w:tcMar>
              <w:top w:type="dxa" w:w="80"/>
              <w:left w:type="dxa" w:w="130"/>
              <w:bottom w:type="dxa" w:w="80"/>
              <w:right w:type="dxa" w:w="130"/>
            </w:tcMar>
          </w:tcPr>
          <w:p>
            <w:pPr>
              <w:jc w:val="center"/>
            </w:pPr>
            <w:r>
              <w:rPr>
                <w:rFonts w:ascii="Arial" w:cs="Arial" w:eastAsia="Arial" w:hAnsi="Arial"/>
                <w:b/>
                <w:bCs/>
                <w:color w:val="FFFFFF"/>
                <w:sz w:val="20"/>
                <w:szCs w:val="20"/>
              </w:rPr>
            </w:r>
          </w:p>
        </w:tc>
      </w:tr>
    </w:tbl>
    <w:p>
      <w:r>
        <w:br w:type="page"/>
      </w:r>
    </w:p>
    <w:p>
      <w:pPr>
        <w:pStyle w:val="Heading1"/>
        <w:spacing w:after="180" w:before="360"/>
      </w:pPr>
      <w:r>
        <w:rPr>
          <w:rFonts w:ascii="Arial" w:cs="Arial" w:eastAsia="Arial" w:hAnsi="Arial"/>
          <w:b/>
          <w:bCs/>
          <w:color w:val="1B3A6B"/>
          <w:sz w:val="36"/>
          <w:szCs w:val="36"/>
        </w:rPr>
        <w:t xml:space="preserve">PART III: THE ADVANTAGE D365 DOESN'T HAVE</w:t>
      </w:r>
    </w:p>
    <w:p>
      <w:pPr>
        <w:pBdr>
          <w:bottom w:val="single" w:color="2E5FA3" w:sz="4" w:space="1"/>
        </w:pBdr>
        <w:spacing w:after="120" w:before="120"/>
      </w:pPr>
      <w:r>
        <w:t xml:space="preserve"/>
      </w:r>
    </w:p>
    <w:p>
      <w:pPr>
        <w:spacing w:after="100" w:before="60"/>
      </w:pPr>
      <w:r>
        <w:rPr>
          <w:rFonts w:ascii="Arial" w:cs="Arial" w:eastAsia="Arial" w:hAnsi="Arial"/>
          <w:color w:val="1A1A2E"/>
          <w:sz w:val="22"/>
          <w:szCs w:val="22"/>
        </w:rPr>
        <w:t xml:space="preserve">BroyhillGOP does not just mimic Dynamics 365 — it exceeds it in the dimensions that matter most for political campaign operations. These are structural advantages baked into the original architecture that D365 cannot replicate without years of customization.</w:t>
      </w:r>
    </w:p>
    <w:p>
      <w:pPr>
        <w:spacing w:after="60" w:before="60"/>
      </w:pPr>
      <w:r>
        <w:t xml:space="preserve"/>
      </w:r>
    </w:p>
    <w:p>
      <w:pPr>
        <w:pStyle w:val="Heading2"/>
        <w:spacing w:after="120" w:before="280"/>
      </w:pPr>
      <w:r>
        <w:rPr>
          <w:rFonts w:ascii="Arial" w:cs="Arial" w:eastAsia="Arial" w:hAnsi="Arial"/>
          <w:b/>
          <w:bCs/>
          <w:color w:val="2E5FA3"/>
          <w:sz w:val="28"/>
          <w:szCs w:val="28"/>
        </w:rPr>
        <w:t xml:space="preserve">The Many-to-Many Role Architecture</w:t>
      </w:r>
    </w:p>
    <w:p>
      <w:pPr>
        <w:spacing w:after="100" w:before="60"/>
      </w:pPr>
      <w:r>
        <w:rPr>
          <w:rFonts w:ascii="Arial" w:cs="Arial" w:eastAsia="Arial" w:hAnsi="Arial"/>
          <w:color w:val="1A1A2E"/>
          <w:sz w:val="22"/>
          <w:szCs w:val="22"/>
        </w:rPr>
        <w:t xml:space="preserve">Dynamics 365 defaults to one-to-many hierarchy: an Account owns Contacts which own Activities. You fight the data model to make one person simultaneously a donor, a volunteer, an activist, a committee member, and a candidate across multiple campaigns.</w:t>
      </w:r>
    </w:p>
    <w:p>
      <w:pPr>
        <w:spacing w:after="60" w:before="60"/>
      </w:pPr>
      <w:r>
        <w:t xml:space="preserve"/>
      </w:r>
    </w:p>
    <w:p>
      <w:pPr>
        <w:spacing w:after="100" w:before="60"/>
      </w:pPr>
      <w:r>
        <w:rPr>
          <w:rFonts w:ascii="Arial" w:cs="Arial" w:eastAsia="Arial" w:hAnsi="Arial"/>
          <w:color w:val="1A1A2E"/>
          <w:sz w:val="22"/>
          <w:szCs w:val="22"/>
        </w:rPr>
        <w:t xml:space="preserve">BroyhillGOP's person spine is natively many-to-many. The same person_id appears as a first-class citizen in every ecosystem simultaneously — donor tables, volunteer tables, activist tables, microsegment tables, finance committee tables — each relationship independently tracked, none subordinate to the others. A D365 implementation consultant would charge $500,000 to customize D365 to achieve this. BroyhillGOP has it by default.</w:t>
      </w:r>
    </w:p>
    <w:p>
      <w:pPr>
        <w:spacing w:after="60" w:before="60"/>
      </w:pPr>
      <w:r>
        <w:t xml:space="preserve"/>
      </w:r>
    </w:p>
    <w:p>
      <w:pPr>
        <w:pStyle w:val="Heading2"/>
        <w:spacing w:after="120" w:before="280"/>
      </w:pPr>
      <w:r>
        <w:rPr>
          <w:rFonts w:ascii="Arial" w:cs="Arial" w:eastAsia="Arial" w:hAnsi="Arial"/>
          <w:b/>
          <w:bCs/>
          <w:color w:val="2E5FA3"/>
          <w:sz w:val="28"/>
          <w:szCs w:val="28"/>
        </w:rPr>
        <w:t xml:space="preserve">Variable Communications Across Every Channel</w:t>
      </w:r>
    </w:p>
    <w:p>
      <w:pPr>
        <w:spacing w:after="100" w:before="60"/>
      </w:pPr>
      <w:r>
        <w:rPr>
          <w:rFonts w:ascii="Arial" w:cs="Arial" w:eastAsia="Arial" w:hAnsi="Arial"/>
          <w:color w:val="1A1A2E"/>
          <w:sz w:val="22"/>
          <w:szCs w:val="22"/>
        </w:rPr>
        <w:t xml:space="preserve">D365 Marketing (now Dynamics 365 Customer Insights - Journeys) can personalize email. That is the extent of it. BroyhillGOP exercises variable data communications simultaneously across print (VDP), email, SMS, RVM voicemail, social media ad creative, and direct mail — all from the same person record, all personalized to the individual's role and relationship with the specific candidate.</w:t>
      </w:r>
    </w:p>
    <w:p>
      <w:pPr>
        <w:spacing w:after="60" w:before="60"/>
      </w:pPr>
      <w:r>
        <w:t xml:space="preserve"/>
      </w:r>
    </w:p>
    <w:p>
      <w:pPr>
        <w:pStyle w:val="Heading2"/>
        <w:spacing w:after="120" w:before="280"/>
      </w:pPr>
      <w:r>
        <w:rPr>
          <w:rFonts w:ascii="Arial" w:cs="Arial" w:eastAsia="Arial" w:hAnsi="Arial"/>
          <w:b/>
          <w:bCs/>
          <w:color w:val="2E5FA3"/>
          <w:sz w:val="28"/>
          <w:szCs w:val="28"/>
        </w:rPr>
        <w:t xml:space="preserve">A/B/Infinity Testing at Thompson Sampling Scale</w:t>
      </w:r>
    </w:p>
    <w:p>
      <w:pPr>
        <w:spacing w:after="100" w:before="60"/>
      </w:pPr>
      <w:r>
        <w:rPr>
          <w:rFonts w:ascii="Arial" w:cs="Arial" w:eastAsia="Arial" w:hAnsi="Arial"/>
          <w:color w:val="1A1A2E"/>
          <w:sz w:val="22"/>
          <w:szCs w:val="22"/>
        </w:rPr>
        <w:t xml:space="preserve">D365 supports basic A/B email testing with a sample-and-wait model. BroyhillGOP's E22 Thompson Sampling engine runs infinite variants simultaneously across infinite microsegments, auto-allocating traffic to winners in real time with no wait for statistical significance. This is a class of testing infrastructure that does not exist natively in any CRM on the market.</w:t>
      </w:r>
    </w:p>
    <w:p>
      <w:pPr>
        <w:spacing w:after="60" w:before="60"/>
      </w:pPr>
      <w:r>
        <w:t xml:space="preserve"/>
      </w:r>
    </w:p>
    <w:p>
      <w:pPr>
        <w:pStyle w:val="Heading2"/>
        <w:spacing w:after="120" w:before="280"/>
      </w:pPr>
      <w:r>
        <w:rPr>
          <w:rFonts w:ascii="Arial" w:cs="Arial" w:eastAsia="Arial" w:hAnsi="Arial"/>
          <w:b/>
          <w:bCs/>
          <w:color w:val="2E5FA3"/>
          <w:sz w:val="28"/>
          <w:szCs w:val="28"/>
        </w:rPr>
        <w:t xml:space="preserve">Purpose-Built for Multi-Candidate Political Scale</w:t>
      </w:r>
    </w:p>
    <w:p>
      <w:pPr>
        <w:spacing w:after="100" w:before="60"/>
      </w:pPr>
      <w:r>
        <w:rPr>
          <w:rFonts w:ascii="Arial" w:cs="Arial" w:eastAsia="Arial" w:hAnsi="Arial"/>
          <w:color w:val="1A1A2E"/>
          <w:sz w:val="22"/>
          <w:szCs w:val="22"/>
        </w:rPr>
        <w:t xml:space="preserve">D365 is a horizontal enterprise platform. BroyhillGOP is purpose-built for 3,900+ NC Republican candidates running simultaneously, sharing the same donor universe, the same volunteer pool, and the same microsegment intelligence — with FEC compliance, NCBOE data integration, and political relationship logic (clout scoring, Finance Committee, cross-segment connectors) that no horizontal CRM has ever attempted to model.</w:t>
      </w:r>
    </w:p>
    <w:p>
      <w:r>
        <w:br w:type="page"/>
      </w:r>
    </w:p>
    <w:p>
      <w:pPr>
        <w:pStyle w:val="Heading1"/>
        <w:spacing w:after="180" w:before="360"/>
      </w:pPr>
      <w:r>
        <w:rPr>
          <w:rFonts w:ascii="Arial" w:cs="Arial" w:eastAsia="Arial" w:hAnsi="Arial"/>
          <w:b/>
          <w:bCs/>
          <w:color w:val="1B3A6B"/>
          <w:sz w:val="36"/>
          <w:szCs w:val="36"/>
        </w:rPr>
        <w:t xml:space="preserve">PART IV: IMPLEMENTATION ROADMAP</w:t>
      </w:r>
    </w:p>
    <w:p>
      <w:pPr>
        <w:pBdr>
          <w:bottom w:val="single" w:color="2E5FA3" w:sz="4" w:space="1"/>
        </w:pBdr>
        <w:spacing w:after="120" w:before="120"/>
      </w:pPr>
      <w:r>
        <w:t xml:space="preserve"/>
      </w:r>
    </w:p>
    <w:p>
      <w:pPr>
        <w:spacing w:after="100" w:before="60"/>
      </w:pPr>
      <w:r>
        <w:rPr>
          <w:rFonts w:ascii="Arial" w:cs="Arial" w:eastAsia="Arial" w:hAnsi="Arial"/>
          <w:color w:val="1A1A2E"/>
          <w:sz w:val="22"/>
          <w:szCs w:val="22"/>
        </w:rPr>
        <w:t xml:space="preserve">Four phases. Priority 1 items close the security and observability gaps that are production risks today. Priority 2 items complete the enterprise CRM architecture. Priority 3 items build the commercial platform extension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700"/>
        <w:gridCol w:w="1760"/>
      </w:tblGrid>
      <w:tr>
        <w:tc>
          <w:tcPr>
            <w:tcW w:type="dxa" w:w="1400"/>
            <w:tcBorders>
              <w:top w:val="single" w:color="CDD3DB" w:sz="1"/>
              <w:left w:val="single" w:color="CDD3DB" w:sz="1"/>
              <w:bottom w:val="single" w:color="CDD3DB" w:sz="1"/>
              <w:right w:val="single" w:color="CDD3DB" w:sz="1"/>
            </w:tcBorders>
            <w:shd w:fill="2E5FA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PHASE</w:t>
            </w:r>
          </w:p>
        </w:tc>
        <w:tc>
          <w:tcPr>
            <w:tcW w:type="dxa" w:w="3500"/>
            <w:tcBorders>
              <w:top w:val="single" w:color="CDD3DB" w:sz="1"/>
              <w:left w:val="single" w:color="CDD3DB" w:sz="1"/>
              <w:bottom w:val="single" w:color="CDD3DB" w:sz="1"/>
              <w:right w:val="single" w:color="CDD3DB" w:sz="1"/>
            </w:tcBorders>
            <w:shd w:fill="2E5FA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DELIVERABLE</w:t>
            </w:r>
          </w:p>
        </w:tc>
        <w:tc>
          <w:tcPr>
            <w:tcW w:type="dxa" w:w="2700"/>
            <w:tcBorders>
              <w:top w:val="single" w:color="CDD3DB" w:sz="1"/>
              <w:left w:val="single" w:color="CDD3DB" w:sz="1"/>
              <w:bottom w:val="single" w:color="CDD3DB" w:sz="1"/>
              <w:right w:val="single" w:color="CDD3DB" w:sz="1"/>
            </w:tcBorders>
            <w:shd w:fill="2E5FA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D365 EQUIVALENT</w:t>
            </w:r>
          </w:p>
        </w:tc>
        <w:tc>
          <w:tcPr>
            <w:tcW w:type="dxa" w:w="1760"/>
            <w:tcBorders>
              <w:top w:val="single" w:color="CDD3DB" w:sz="1"/>
              <w:left w:val="single" w:color="CDD3DB" w:sz="1"/>
              <w:bottom w:val="single" w:color="CDD3DB" w:sz="1"/>
              <w:right w:val="single" w:color="CDD3DB" w:sz="1"/>
            </w:tcBorders>
            <w:shd w:fill="2E5FA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TIMELINE</w:t>
            </w:r>
          </w:p>
        </w:tc>
      </w:tr>
      <w:tr>
        <w:tc>
          <w:tcPr>
            <w:tcW w:type="dxa" w:w="14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PHASE 1
Foundation
(P1 Gaps)</w:t>
            </w:r>
          </w:p>
        </w:tc>
        <w:tc>
          <w:tcPr>
            <w:tcW w:type="dxa" w:w="35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Entity Standard Migration — add audit fields to all 200+ tables</w:t>
            </w:r>
          </w:p>
        </w:tc>
        <w:tc>
          <w:tcPr>
            <w:tcW w:type="dxa" w:w="27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Dataverse Standard Fields</w:t>
            </w:r>
          </w:p>
        </w:tc>
        <w:tc>
          <w:tcPr>
            <w:tcW w:type="dxa" w:w="176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Sprint 1</w:t>
            </w:r>
          </w:p>
        </w:tc>
      </w:tr>
      <w:tr>
        <w:tc>
          <w:tcPr>
            <w:tcW w:type="dxa" w:w="14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PHASE 1</w:t>
            </w:r>
          </w:p>
        </w:tc>
        <w:tc>
          <w:tcPr>
            <w:tcW w:type="dxa" w:w="35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Row Level Security (RLS) — enforce candidate_id isolation across all tables</w:t>
            </w:r>
          </w:p>
        </w:tc>
        <w:tc>
          <w:tcPr>
            <w:tcW w:type="dxa" w:w="27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Security Roles</w:t>
            </w:r>
          </w:p>
        </w:tc>
        <w:tc>
          <w:tcPr>
            <w:tcW w:type="dxa" w:w="17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Sprint 1</w:t>
            </w:r>
          </w:p>
        </w:tc>
      </w:tr>
      <w:tr>
        <w:tc>
          <w:tcPr>
            <w:tcW w:type="dxa" w:w="14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PHASE 1</w:t>
            </w:r>
          </w:p>
        </w:tc>
        <w:tc>
          <w:tcPr>
            <w:tcW w:type="dxa" w:w="35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bgop_activity_log — unified person activity timeline across all ecosystems</w:t>
            </w:r>
          </w:p>
        </w:tc>
        <w:tc>
          <w:tcPr>
            <w:tcW w:type="dxa" w:w="27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Activity Timeline</w:t>
            </w:r>
          </w:p>
        </w:tc>
        <w:tc>
          <w:tcPr>
            <w:tcW w:type="dxa" w:w="176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Sprint 2</w:t>
            </w:r>
          </w:p>
        </w:tc>
      </w:tr>
      <w:tr>
        <w:tc>
          <w:tcPr>
            <w:tcW w:type="dxa" w:w="14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PHASE 1</w:t>
            </w:r>
          </w:p>
        </w:tc>
        <w:tc>
          <w:tcPr>
            <w:tcW w:type="dxa" w:w="35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Trigger Registry — move E20 905 triggers into database table with trace log</w:t>
            </w:r>
          </w:p>
        </w:tc>
        <w:tc>
          <w:tcPr>
            <w:tcW w:type="dxa" w:w="27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Plugin Trace Log</w:t>
            </w:r>
          </w:p>
        </w:tc>
        <w:tc>
          <w:tcPr>
            <w:tcW w:type="dxa" w:w="17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Sprint 2</w:t>
            </w:r>
          </w:p>
        </w:tc>
      </w:tr>
      <w:tr>
        <w:tc>
          <w:tcPr>
            <w:tcW w:type="dxa" w:w="14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PHASE 1</w:t>
            </w:r>
          </w:p>
        </w:tc>
        <w:tc>
          <w:tcPr>
            <w:tcW w:type="dxa" w:w="35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Dev/Test/Prod Environment Split — three Supabase projects with promotion gates</w:t>
            </w:r>
          </w:p>
        </w:tc>
        <w:tc>
          <w:tcPr>
            <w:tcW w:type="dxa" w:w="27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Environments</w:t>
            </w:r>
          </w:p>
        </w:tc>
        <w:tc>
          <w:tcPr>
            <w:tcW w:type="dxa" w:w="176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Sprint 3</w:t>
            </w:r>
          </w:p>
        </w:tc>
      </w:tr>
      <w:tr>
        <w:tc>
          <w:tcPr>
            <w:tcW w:type="dxa" w:w="14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PHASE 2
Enterprise
(P2 Gaps)</w:t>
            </w:r>
          </w:p>
        </w:tc>
        <w:tc>
          <w:tcPr>
            <w:tcW w:type="dxa" w:w="35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ecosystem_registry table — versioning and deployment tracking per ecosystem</w:t>
            </w:r>
          </w:p>
        </w:tc>
        <w:tc>
          <w:tcPr>
            <w:tcW w:type="dxa" w:w="27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Solution Framework</w:t>
            </w:r>
          </w:p>
        </w:tc>
        <w:tc>
          <w:tcPr>
            <w:tcW w:type="dxa" w:w="17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Sprint 4</w:t>
            </w:r>
          </w:p>
        </w:tc>
      </w:tr>
      <w:tr>
        <w:tc>
          <w:tcPr>
            <w:tcW w:type="dxa" w:w="14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PHASE 2</w:t>
            </w:r>
          </w:p>
        </w:tc>
        <w:tc>
          <w:tcPr>
            <w:tcW w:type="dxa" w:w="35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BGOP Web API Standard — consistent REST spec across all 59 ecosystems</w:t>
            </w:r>
          </w:p>
        </w:tc>
        <w:tc>
          <w:tcPr>
            <w:tcW w:type="dxa" w:w="27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OData Web API</w:t>
            </w:r>
          </w:p>
        </w:tc>
        <w:tc>
          <w:tcPr>
            <w:tcW w:type="dxa" w:w="176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Sprint 4</w:t>
            </w:r>
          </w:p>
        </w:tc>
      </w:tr>
      <w:tr>
        <w:tc>
          <w:tcPr>
            <w:tcW w:type="dxa" w:w="14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PHASE 2</w:t>
            </w:r>
          </w:p>
        </w:tc>
        <w:tc>
          <w:tcPr>
            <w:tcW w:type="dxa" w:w="35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Webhook Registry — platform-level event subscription for external systems</w:t>
            </w:r>
          </w:p>
        </w:tc>
        <w:tc>
          <w:tcPr>
            <w:tcW w:type="dxa" w:w="27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Webhooks</w:t>
            </w:r>
          </w:p>
        </w:tc>
        <w:tc>
          <w:tcPr>
            <w:tcW w:type="dxa" w:w="17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Sprint 5</w:t>
            </w:r>
          </w:p>
        </w:tc>
      </w:tr>
      <w:tr>
        <w:tc>
          <w:tcPr>
            <w:tcW w:type="dxa" w:w="14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PHASE 2</w:t>
            </w:r>
          </w:p>
        </w:tc>
        <w:tc>
          <w:tcPr>
            <w:tcW w:type="dxa" w:w="35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Entry-Time Duplicate Detection — blocking query before any new person record saves</w:t>
            </w:r>
          </w:p>
        </w:tc>
        <w:tc>
          <w:tcPr>
            <w:tcW w:type="dxa" w:w="27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Duplicate Detection</w:t>
            </w:r>
          </w:p>
        </w:tc>
        <w:tc>
          <w:tcPr>
            <w:tcW w:type="dxa" w:w="176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Sprint 5</w:t>
            </w:r>
          </w:p>
        </w:tc>
      </w:tr>
      <w:tr>
        <w:tc>
          <w:tcPr>
            <w:tcW w:type="dxa" w:w="14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PHASE 2</w:t>
            </w:r>
          </w:p>
        </w:tc>
        <w:tc>
          <w:tcPr>
            <w:tcW w:type="dxa" w:w="35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AI Assistant Panel — surface E20/E21 intelligence in Inspinia UI for candidates</w:t>
            </w:r>
          </w:p>
        </w:tc>
        <w:tc>
          <w:tcPr>
            <w:tcW w:type="dxa" w:w="27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Copilot / AI Builder</w:t>
            </w:r>
          </w:p>
        </w:tc>
        <w:tc>
          <w:tcPr>
            <w:tcW w:type="dxa" w:w="17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Sprint 6</w:t>
            </w:r>
          </w:p>
        </w:tc>
      </w:tr>
      <w:tr>
        <w:tc>
          <w:tcPr>
            <w:tcW w:type="dxa" w:w="14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PHASE 2</w:t>
            </w:r>
          </w:p>
        </w:tc>
        <w:tc>
          <w:tcPr>
            <w:tcW w:type="dxa" w:w="35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Visual Rule Builder — no-code if/then trigger configuration for campaign managers</w:t>
            </w:r>
          </w:p>
        </w:tc>
        <w:tc>
          <w:tcPr>
            <w:tcW w:type="dxa" w:w="27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Business Rules</w:t>
            </w:r>
          </w:p>
        </w:tc>
        <w:tc>
          <w:tcPr>
            <w:tcW w:type="dxa" w:w="176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Sprint 6</w:t>
            </w:r>
          </w:p>
        </w:tc>
      </w:tr>
      <w:tr>
        <w:tc>
          <w:tcPr>
            <w:tcW w:type="dxa" w:w="14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PHASE 2</w:t>
            </w:r>
          </w:p>
        </w:tc>
        <w:tc>
          <w:tcPr>
            <w:tcW w:type="dxa" w:w="35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Campaign Onboarding Flow — stage-gated UI checklist for new candidates</w:t>
            </w:r>
          </w:p>
        </w:tc>
        <w:tc>
          <w:tcPr>
            <w:tcW w:type="dxa" w:w="27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Business Process Flows</w:t>
            </w:r>
          </w:p>
        </w:tc>
        <w:tc>
          <w:tcPr>
            <w:tcW w:type="dxa" w:w="17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Sprint 7</w:t>
            </w:r>
          </w:p>
        </w:tc>
      </w:tr>
      <w:tr>
        <w:tc>
          <w:tcPr>
            <w:tcW w:type="dxa" w:w="14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PHASE 3
Platform
(P3 Gaps)</w:t>
            </w:r>
          </w:p>
        </w:tc>
        <w:tc>
          <w:tcPr>
            <w:tcW w:type="dxa" w:w="35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E20 Brain full wiring — E59, E42, E58 inputs + Inspinia Command Center output</w:t>
            </w:r>
          </w:p>
        </w:tc>
        <w:tc>
          <w:tcPr>
            <w:tcW w:type="dxa" w:w="27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Customer Insights</w:t>
            </w:r>
          </w:p>
        </w:tc>
        <w:tc>
          <w:tcPr>
            <w:tcW w:type="dxa" w:w="176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Sprint 8</w:t>
            </w:r>
          </w:p>
        </w:tc>
      </w:tr>
      <w:tr>
        <w:tc>
          <w:tcPr>
            <w:tcW w:type="dxa" w:w="14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PHASE 3</w:t>
            </w:r>
          </w:p>
        </w:tc>
        <w:tc>
          <w:tcPr>
            <w:tcW w:type="dxa" w:w="35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Extension Framework Manifest — ecosystem_extension_manifest.json schema</w:t>
            </w:r>
          </w:p>
        </w:tc>
        <w:tc>
          <w:tcPr>
            <w:tcW w:type="dxa" w:w="27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AppSource</w:t>
            </w:r>
          </w:p>
        </w:tc>
        <w:tc>
          <w:tcPr>
            <w:tcW w:type="dxa" w:w="17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Sprint 9</w:t>
            </w:r>
          </w:p>
        </w:tc>
      </w:tr>
      <w:tr>
        <w:tc>
          <w:tcPr>
            <w:tcW w:type="dxa" w:w="14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PHASE 3</w:t>
            </w:r>
          </w:p>
        </w:tc>
        <w:tc>
          <w:tcPr>
            <w:tcW w:type="dxa" w:w="35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BGOP Extension Installer — one-click add-on installation and clean uninstall</w:t>
            </w:r>
          </w:p>
        </w:tc>
        <w:tc>
          <w:tcPr>
            <w:tcW w:type="dxa" w:w="270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Managed Solutions</w:t>
            </w:r>
          </w:p>
        </w:tc>
        <w:tc>
          <w:tcPr>
            <w:tcW w:type="dxa" w:w="1760"/>
            <w:tcBorders>
              <w:top w:val="single" w:color="CDD3DB" w:sz="1"/>
              <w:left w:val="single" w:color="CDD3DB" w:sz="1"/>
              <w:bottom w:val="single" w:color="CDD3DB" w:sz="1"/>
              <w:right w:val="single" w:color="CDD3DB" w:sz="1"/>
            </w:tcBorders>
            <w:shd w:fill="F4F6F9" w:val="clear"/>
            <w:tcMar>
              <w:top w:type="dxa" w:w="80"/>
              <w:left w:type="dxa" w:w="130"/>
              <w:bottom w:type="dxa" w:w="80"/>
              <w:right w:type="dxa" w:w="130"/>
            </w:tcMar>
          </w:tcPr>
          <w:p>
            <w:r>
              <w:rPr>
                <w:rFonts w:ascii="Arial" w:cs="Arial" w:eastAsia="Arial" w:hAnsi="Arial"/>
                <w:b/>
                <w:bCs/>
                <w:color w:val="1A1A2E"/>
                <w:sz w:val="20"/>
                <w:szCs w:val="20"/>
              </w:rPr>
              <w:t xml:space="preserve">Sprint 10</w:t>
            </w:r>
          </w:p>
        </w:tc>
      </w:tr>
      <w:tr>
        <w:tc>
          <w:tcPr>
            <w:tcW w:type="dxa" w:w="14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PHASE 3</w:t>
            </w:r>
          </w:p>
        </w:tc>
        <w:tc>
          <w:tcPr>
            <w:tcW w:type="dxa" w:w="35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Multi-State Licensing Architecture — franchise BroyhillGOP to other state parties</w:t>
            </w:r>
          </w:p>
        </w:tc>
        <w:tc>
          <w:tcPr>
            <w:tcW w:type="dxa" w:w="270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val="false"/>
                <w:bCs w:val="false"/>
                <w:color w:val="1A1A2E"/>
                <w:sz w:val="20"/>
                <w:szCs w:val="20"/>
              </w:rPr>
              <w:t xml:space="preserve">D365 Multi-Tenant Orgs</w:t>
            </w:r>
          </w:p>
        </w:tc>
        <w:tc>
          <w:tcPr>
            <w:tcW w:type="dxa" w:w="1760"/>
            <w:tcBorders>
              <w:top w:val="single" w:color="CDD3DB" w:sz="1"/>
              <w:left w:val="single" w:color="CDD3DB" w:sz="1"/>
              <w:bottom w:val="single" w:color="CDD3DB" w:sz="1"/>
              <w:right w:val="single" w:color="CDD3DB" w:sz="1"/>
            </w:tcBorders>
            <w:shd w:fill="FFFFFF" w:val="clear"/>
            <w:tcMar>
              <w:top w:type="dxa" w:w="80"/>
              <w:left w:type="dxa" w:w="130"/>
              <w:bottom w:type="dxa" w:w="80"/>
              <w:right w:type="dxa" w:w="130"/>
            </w:tcMar>
          </w:tcPr>
          <w:p>
            <w:r>
              <w:rPr>
                <w:rFonts w:ascii="Arial" w:cs="Arial" w:eastAsia="Arial" w:hAnsi="Arial"/>
                <w:b/>
                <w:bCs/>
                <w:color w:val="1A1A2E"/>
                <w:sz w:val="20"/>
                <w:szCs w:val="20"/>
              </w:rPr>
              <w:t xml:space="preserve">Sprint 11-12</w:t>
            </w:r>
          </w:p>
        </w:tc>
      </w:tr>
    </w:tbl>
    <w:p>
      <w:r>
        <w:br w:type="page"/>
      </w:r>
    </w:p>
    <w:p>
      <w:pPr>
        <w:pStyle w:val="Heading1"/>
        <w:spacing w:after="180" w:before="360"/>
      </w:pPr>
      <w:r>
        <w:rPr>
          <w:rFonts w:ascii="Arial" w:cs="Arial" w:eastAsia="Arial" w:hAnsi="Arial"/>
          <w:b/>
          <w:bCs/>
          <w:color w:val="1B3A6B"/>
          <w:sz w:val="36"/>
          <w:szCs w:val="36"/>
        </w:rPr>
        <w:t xml:space="preserve">PART V: THE RESULT — WHAT BROYHILLGOP BECOMES</w:t>
      </w:r>
    </w:p>
    <w:p>
      <w:pPr>
        <w:pBdr>
          <w:bottom w:val="single" w:color="2E5FA3" w:sz="4" w:space="1"/>
        </w:pBdr>
        <w:spacing w:after="120" w:before="120"/>
      </w:pPr>
      <w:r>
        <w:t xml:space="preserve"/>
      </w:r>
    </w:p>
    <w:p>
      <w:pPr>
        <w:spacing w:after="100" w:before="60"/>
      </w:pPr>
      <w:r>
        <w:rPr>
          <w:rFonts w:ascii="Arial" w:cs="Arial" w:eastAsia="Arial" w:hAnsi="Arial"/>
          <w:color w:val="1A1A2E"/>
          <w:sz w:val="22"/>
          <w:szCs w:val="22"/>
        </w:rPr>
        <w:t xml:space="preserve">When all four phases are complete, BroyhillGOP is not a political campaign tool. It is an enterprise CRM platform that happens to be optimized for Republican political operations — with every capability that justifies the D365, Dynamics 365, or Salesforce price tag, built natively at a fraction of the cost.</w:t>
      </w:r>
    </w:p>
    <w:p>
      <w:pPr>
        <w:spacing w:after="60" w:before="60"/>
      </w:pPr>
      <w:r>
        <w:t xml:space="preserve"/>
      </w:r>
    </w:p>
    <w:p>
      <w:pPr>
        <w:spacing w:after="100" w:before="60"/>
      </w:pPr>
      <w:r>
        <w:rPr>
          <w:rFonts w:ascii="Arial" w:cs="Arial" w:eastAsia="Arial" w:hAnsi="Arial"/>
          <w:color w:val="1A1A2E"/>
          <w:sz w:val="22"/>
          <w:szCs w:val="22"/>
        </w:rPr>
        <w:t xml:space="preserve">The 59 ecosystems are no longer chaos. They are organized like D365's application suite: distinct functional modules (Sales = Donor Intelligence, Marketing = Email/SMS/RVM, Field Service = Volunteer Operations, Customer Service = Candidate Support) all sharing the same person spine, all governed by the same security model, all visible through the same activity timeline, all orchestrated by the E20 Intelligence Brain.</w:t>
      </w:r>
    </w:p>
    <w:p>
      <w:pPr>
        <w:spacing w:after="60" w:before="60"/>
      </w:pPr>
      <w:r>
        <w:t xml:space="preserve"/>
      </w:r>
    </w:p>
    <w:p>
      <w:pPr>
        <w:spacing w:after="100" w:before="60"/>
      </w:pPr>
      <w:r>
        <w:rPr>
          <w:rFonts w:ascii="Arial" w:cs="Arial" w:eastAsia="Arial" w:hAnsi="Arial"/>
          <w:color w:val="1A1A2E"/>
          <w:sz w:val="22"/>
          <w:szCs w:val="22"/>
        </w:rPr>
        <w:t xml:space="preserve">The many-to-many role model means every person in the platform is simultaneously a donor, a volunteer, an activist, a microsegment member, and a relationship node in the Finance Committee network — and can be communicated with in any of those roles, on any channel, with variable data personalization, at scale, with A/B/infinity optimization running continuously.</w:t>
      </w:r>
    </w:p>
    <w:p>
      <w:pPr>
        <w:spacing w:after="60" w:before="60"/>
      </w:pPr>
      <w:r>
        <w:t xml:space="preserve"/>
      </w:r>
    </w:p>
    <w:p>
      <w:pPr>
        <w:spacing w:after="100" w:before="60"/>
      </w:pPr>
      <w:r>
        <w:rPr>
          <w:rFonts w:ascii="Arial" w:cs="Arial" w:eastAsia="Arial" w:hAnsi="Arial"/>
          <w:color w:val="1A1A2E"/>
          <w:sz w:val="22"/>
          <w:szCs w:val="22"/>
        </w:rPr>
        <w:t xml:space="preserve">The add-on marketplace means the platform can be licensed to other state Republican parties as a fully managed enterprise CRM — with the same architecture that Microsoft charges $3,000-$10,000 per month for in Dynamics 365, delivered as a purpose-built political platform. This is the path to the acquisition valuation.</w:t>
      </w:r>
    </w:p>
    <w:p>
      <w:pPr>
        <w:spacing w:after="60" w:before="60"/>
      </w:pPr>
      <w:r>
        <w:t xml:space="preserve"/>
      </w:r>
    </w:p>
    <w:p>
      <w:pPr>
        <w:pBdr>
          <w:bottom w:val="single" w:color="2E5FA3" w:sz="4" w:space="1"/>
        </w:pBdr>
        <w:spacing w:after="120" w:before="120"/>
      </w:pPr>
      <w:r>
        <w:t xml:space="preserve"/>
      </w:r>
    </w:p>
    <w:p>
      <w:pPr>
        <w:spacing w:after="100" w:before="200"/>
        <w:jc w:val="center"/>
      </w:pPr>
      <w:r>
        <w:rPr>
          <w:rFonts w:ascii="Arial" w:cs="Arial" w:eastAsia="Arial" w:hAnsi="Arial"/>
          <w:b/>
          <w:bCs/>
          <w:i/>
          <w:iCs/>
          <w:color w:val="1B3A6B"/>
          <w:sz w:val="28"/>
          <w:szCs w:val="28"/>
        </w:rPr>
        <w:t xml:space="preserve">BroyhillGOP was designed as a giant CRM.</w:t>
      </w:r>
    </w:p>
    <w:p>
      <w:pPr>
        <w:spacing w:after="200" w:before="0"/>
        <w:jc w:val="center"/>
      </w:pPr>
      <w:r>
        <w:rPr>
          <w:rFonts w:ascii="Arial" w:cs="Arial" w:eastAsia="Arial" w:hAnsi="Arial"/>
          <w:b/>
          <w:bCs/>
          <w:i/>
          <w:iCs/>
          <w:color w:val="E8711A"/>
          <w:sz w:val="28"/>
          <w:szCs w:val="28"/>
        </w:rPr>
        <w:t xml:space="preserve">This strategy makes it one.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026"/>
      </w:tabs>
    </w:pPr>
    <w:r>
      <w:rPr>
        <w:rFonts w:ascii="Arial" w:cs="Arial" w:eastAsia="Arial" w:hAnsi="Arial"/>
        <w:color w:val="2E5FA3"/>
        <w:sz w:val="18"/>
        <w:szCs w:val="18"/>
      </w:rPr>
      <w:t xml:space="preserve">© 2026 BroyhillGOP Platform  |  NC RNC</w:t>
    </w:r>
    <w:r>
      <w:rPr>
        <w:rFonts w:ascii="Arial" w:cs="Arial" w:eastAsia="Arial" w:hAnsi="Arial"/>
        <w:color w:val="2E5FA3"/>
        <w:sz w:val="18"/>
        <w:szCs w:val="18"/>
      </w:rPr>
      <w:t xml:space="preserve">	Page </w:t>
    </w:r>
    <w:r>
      <w:rPr>
        <w:rFonts w:ascii="Arial" w:cs="Arial" w:eastAsia="Arial" w:hAnsi="Arial"/>
        <w:color w:val="2E5FA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pPr>
    <w:r>
      <w:rPr>
        <w:rFonts w:ascii="Arial" w:cs="Arial" w:eastAsia="Arial" w:hAnsi="Arial"/>
        <w:color w:val="2E5FA3"/>
        <w:sz w:val="18"/>
        <w:szCs w:val="18"/>
      </w:rPr>
      <w:t xml:space="preserve">BROYHILLGOP  |  Enterprise CRM Architecture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E871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2026-04-13T16:18:48.523Z</dcterms:created>
  <dcterms:modified xsi:type="dcterms:W3CDTF">2026-04-13T16:18:48.523Z</dcterms:modified>
</cp:coreProperties>
</file>

<file path=docProps/custom.xml><?xml version="1.0" encoding="utf-8"?>
<Properties xmlns="http://schemas.openxmlformats.org/officeDocument/2006/custom-properties" xmlns:vt="http://schemas.openxmlformats.org/officeDocument/2006/docPropsVTypes"/>
</file>