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E02 DONATION PROCESSING ECOSYSTEM</w:t>
      </w:r>
    </w:p>
    <w:p>
      <w:pPr>
        <w:pStyle w:val="Heading2"/>
        <w:spacing w:after="400"/>
        <w:jc w:val="center"/>
      </w:pPr>
      <w:r>
        <w:t xml:space="preserve">WinRed + Stripe Clone Architecture</w:t>
      </w:r>
    </w:p>
    <w:p>
      <w:pPr>
        <w:pStyle w:val="Heading3"/>
        <w:spacing w:after="600"/>
        <w:jc w:val="center"/>
      </w:pPr>
      <w:r>
        <w:t xml:space="preserve">BroyhillGOP Campaign Platform</w:t>
      </w:r>
    </w:p>
    <w:p>
      <w:pPr>
        <w:spacing w:after="400"/>
        <w:jc w:val="center"/>
      </w:pPr>
      <w:r>
        <w:t xml:space="preserve">Report Generated: 2/17/2026</w:t>
      </w:r>
    </w:p>
    <w:p>
      <w:pPr>
        <w:pStyle w:val="Heading1"/>
        <w:spacing w:after="200"/>
      </w:pPr>
      <w:r>
        <w:t xml:space="preserve">TABLE OF CONTENTS</w:t>
      </w:r>
    </w:p>
    <w:p>
      <w:pPr>
        <w:spacing w:after="100"/>
      </w:pPr>
      <w:r>
        <w:t xml:space="preserve">1. APP CLONE AUDIT — WinRed + Stripe</w:t>
      </w:r>
    </w:p>
    <w:p>
      <w:pPr>
        <w:spacing w:after="100"/>
      </w:pPr>
      <w:r>
        <w:t xml:space="preserve">2. USER JOURNEY</w:t>
      </w:r>
    </w:p>
    <w:p>
      <w:pPr>
        <w:spacing w:after="100"/>
      </w:pPr>
      <w:r>
        <w:t xml:space="preserve">3. COMMAND CENTER DIRECTORY</w:t>
      </w:r>
    </w:p>
    <w:p>
      <w:pPr>
        <w:spacing w:after="100"/>
      </w:pPr>
      <w:r>
        <w:t xml:space="preserve">4. ADMIN PANEL DIRECTORY</w:t>
      </w:r>
    </w:p>
    <w:p>
      <w:pPr>
        <w:spacing w:after="100"/>
      </w:pPr>
      <w:r>
        <w:t xml:space="preserve">5. E20 BRAIN INTEGRATION</w:t>
      </w:r>
    </w:p>
    <w:p>
      <w:pPr>
        <w:spacing w:after="100"/>
      </w:pPr>
      <w:r>
        <w:t xml:space="preserve">6. INSPINIA PAGE MAPPING</w:t>
      </w:r>
    </w:p>
    <w:p>
      <w:pPr>
        <w:spacing w:after="100"/>
      </w:pPr>
      <w:r>
        <w:t xml:space="preserve">7. SEARCH/SORT/SAVE/ACTIVATE FRAMEWORK</w:t>
      </w:r>
    </w:p>
    <w:p>
      <w:pPr>
        <w:spacing w:after="600"/>
      </w:pPr>
      <w:r>
        <w:t xml:space="preserve">8. CAMPAIGN CHIEF INTEGRATION</w:t>
      </w:r>
    </w:p>
    <w:p>
      <w:pPr>
        <w:pageBreakBefore/>
      </w:pPr>
    </w:p>
    <w:p>
      <w:pPr>
        <w:pStyle w:val="Heading1"/>
        <w:spacing w:after="200"/>
      </w:pPr>
      <w:r>
        <w:t xml:space="preserve">SECTION 1: APP CLONE AUDIT — WinRed + Stripe</w:t>
      </w:r>
    </w:p>
    <w:p>
      <w:pPr>
        <w:spacing w:after="200"/>
      </w:pPr>
      <w:r>
        <w:t xml:space="preserve">The E02 Donation Processing ecosystem represents a comprehensive cloning of the WinRed + Stripe architecture, adapted for the BroyhillGOP campaign platform. This section documents the complete feature mapping between the industry-leading donation processing platforms and our campaign-specific implementation. The goal is to deliver enterprise-grade donation processing capabilities while maintaining the flexibility and customization required for dynamic political fundraising campaigns.</w:t>
      </w:r>
    </w:p>
    <w:p>
      <w:pPr>
        <w:spacing w:after="200"/>
      </w:pPr>
      <w:r>
        <w:t xml:space="preserve">WinRed serves as the primary model for political fundraising infrastructure, having processed billions in political donations. Stripe provides the underlying payment processing layer that handles credit card processing, recurring billing, ACH transfers, and alternative payment methods. Our clone architecture integrates both models while adding campaign-specific features tailored to the BroyhillGOP ecosystem.</w:t>
      </w:r>
    </w:p>
    <w:p>
      <w:pPr>
        <w:pStyle w:val="Heading2"/>
        <w:spacing w:after="100"/>
      </w:pPr>
      <w:r>
        <w:t xml:space="preserve">Core Feature Set: Online Donation Forms</w:t>
      </w:r>
    </w:p>
    <w:p>
      <w:pPr>
        <w:spacing w:after="150"/>
      </w:pPr>
      <w:r>
        <w:t xml:space="preserve">Online donation forms represent the primary interface for campaign supporters to make financial contributions. These forms are fully customizable, allowing campaigns to adjust branding, messaging, layout, and required fields. Forms support single-page designs as well as multi-step flows that progressively collect information and reduce friction. The system automatically adapts forms for mobile devices, tablet interfaces, and desktop screens. Forms can be embedded directly into campaign websites, placed on dedicated landing pages, or accessed via direct links. Each form maintains complete audit trails of all submissions, capturing timestamps, IP addresses, user agent information, and form completion metrics.</w:t>
      </w:r>
    </w:p>
    <w:p>
      <w:pPr>
        <w:pStyle w:val="Heading2"/>
        <w:spacing w:after="100"/>
      </w:pPr>
      <w:r>
        <w:t xml:space="preserve">Recurring Donation System</w:t>
      </w:r>
    </w:p>
    <w:p>
      <w:pPr>
        <w:spacing w:after="150"/>
      </w:pPr>
      <w:r>
        <w:t xml:space="preserve">Recurring donations represent a critical revenue stream for modern political campaigns. The system enables supporters to set up monthly, quarterly, or custom recurring contributions. Monthly recurring donors become recurring revenue streams that provide stable, predictable fundraising. The platform automatically handles billing on specified dates, sends renewal confirmations, provides easy management dashboards where donors can modify amounts or cancel subscriptions. Failed payment recovery automatically retries failed recurring charges, using intelligent retry logic to maximize recovery rates while minimizing failed payment penalties.</w:t>
      </w:r>
    </w:p>
    <w:p>
      <w:pPr>
        <w:pStyle w:val="Heading2"/>
        <w:spacing w:after="100"/>
      </w:pPr>
      <w:r>
        <w:t xml:space="preserve">Donor Account System</w:t>
      </w:r>
    </w:p>
    <w:p>
      <w:pPr>
        <w:spacing w:after="150"/>
      </w:pPr>
      <w:r>
        <w:t xml:space="preserve">Registered donor accounts enable supporters to maintain profiles, view contribution history, manage recurring donations, update payment methods, and access personalized experiences. Donors can save multiple payment methods for faster checkout. The system maintains complete donation history with receipt generation and tax documentation. Donor accounts integrate with the E20 Brain to provide personalized recommendations for giving levels and causes based on past behavior.</w:t>
      </w:r>
    </w:p>
    <w:p>
      <w:pPr>
        <w:pStyle w:val="Heading2"/>
        <w:spacing w:after="100"/>
      </w:pPr>
      <w:r>
        <w:t xml:space="preserve">Payment Processing Infrastructure</w:t>
      </w:r>
    </w:p>
    <w:p>
      <w:pPr>
        <w:spacing w:after="150"/>
      </w:pPr>
      <w:r>
        <w:t xml:space="preserve">Payment processing handles multiple payment methods including credit cards (Visa, Mastercard, American Express, Discover), debit cards, ACH bank transfers, and digital wallets (Apple Pay, Google Pay). Credit card processing is handled through Stripe's PCI-Level 1 compliant infrastructure, eliminating the need for campaigns to handle raw card data. ACH processing enables direct bank transfers with lower fees, ideal for major gifts and recurring monthly donations. Digital wallets provide seamless mobile payment experiences. The system maintains distinct processing paths for each payment method, optimizing conversion rates and minimizing decline rates.</w:t>
      </w:r>
    </w:p>
    <w:p>
      <w:pPr>
        <w:pStyle w:val="Heading2"/>
        <w:spacing w:after="100"/>
      </w:pPr>
      <w:r>
        <w:t xml:space="preserve">Donation Page Builder</w:t>
      </w:r>
    </w:p>
    <w:p>
      <w:pPr>
        <w:spacing w:after="150"/>
      </w:pPr>
      <w:r>
        <w:t xml:space="preserve">The donation page builder enables campaign staff to create professional fundraising pages without coding skills. Templates pre-load common campaign imagery, messaging, and layouts. Pages can feature campaign videos, progress bars showing fundraising goals, social proof elements displaying recent donors, campaign messaging, and calls-to-action. Each page is SEO-optimized and shareable across social media platforms. Analytics dashboards show conversion rates, traffic sources, average gift sizes, and donor retention metrics for each page.</w:t>
      </w:r>
    </w:p>
    <w:p>
      <w:pPr>
        <w:pStyle w:val="Heading2"/>
        <w:spacing w:after="100"/>
      </w:pPr>
      <w:r>
        <w:t xml:space="preserve">Embeddable Widget System</w:t>
      </w:r>
    </w:p>
    <w:p>
      <w:pPr>
        <w:spacing w:after="150"/>
      </w:pPr>
      <w:r>
        <w:t xml:space="preserve">Embeddable widgets allow campaigns to place donation forms directly on any website or page. Widgets are responsive, working seamlessly across all screen sizes. Options include pop-up widgets, sidebar widgets, inline form widgets, and full-page replacements. The iframe-based architecture ensures widgets load independently without blocking page performance. Campaigns can customize widget appearance to match site branding and can track conversion metrics separately for each embedded widget location.</w:t>
      </w:r>
    </w:p>
    <w:p>
      <w:pPr>
        <w:pStyle w:val="Heading2"/>
        <w:spacing w:after="100"/>
      </w:pPr>
      <w:r>
        <w:t xml:space="preserve">Upsell and Cross-sell System</w:t>
      </w:r>
    </w:p>
    <w:p>
      <w:pPr>
        <w:spacing w:after="150"/>
      </w:pPr>
      <w:r>
        <w:t xml:space="preserve">After donors complete a gift, the system displays contextual upsell prompts. Prompts can suggest increased gift amounts, matching gift opportunities, recurring donation conversions, or merchandise purchases. Upsell messaging is personalized based on donor history and predicted preferences. A/B testing tracks which upsell messages drive incremental revenue. The system balances upsell frequency against donor experience, limiting upsells to one per session and tracking donor fatigue metrics.</w:t>
      </w:r>
    </w:p>
    <w:p>
      <w:pPr>
        <w:pStyle w:val="Heading2"/>
        <w:spacing w:after="100"/>
      </w:pPr>
      <w:r>
        <w:t xml:space="preserve">Matching Gift Processing</w:t>
      </w:r>
    </w:p>
    <w:p>
      <w:pPr>
        <w:spacing w:after="150"/>
      </w:pPr>
      <w:r>
        <w:t xml:space="preserve">Corporate matching gifts allow companies to match employee contributions, doubling donor impact. The system captures matching gift eligibility, calculates matching amounts, tracks matching gift status, and manages company matching gift verification. Donors receive receipts showing both their contribution and matched amount. The platform integrates with major matching gift databases to automatically identify matching opportunities. Campaign staffs can manually enter matching gift information for companies not in automated databases.</w:t>
      </w:r>
    </w:p>
    <w:p>
      <w:pPr>
        <w:pStyle w:val="Heading2"/>
        <w:spacing w:after="100"/>
      </w:pPr>
      <w:r>
        <w:t xml:space="preserve">Merchandise Store Integration</w:t>
      </w:r>
    </w:p>
    <w:p>
      <w:pPr>
        <w:spacing w:after="150"/>
      </w:pPr>
      <w:r>
        <w:t xml:space="preserve">The merchandise store enables campaigns to sell branded items—campaign apparel, bumper stickers, hats, buttons, and collectibles. The store integrates with the donation system, allowing merchandise purchases to be combined with donations. Customers can add merchandise to donation orders, with all fulfillment handled through integrated e-commerce providers. Revenue from merchandise sales is tracked separately from donation revenue and can be used to offset operational costs or fund additional campaign activities.</w:t>
      </w:r>
    </w:p>
    <w:p>
      <w:pPr>
        <w:pStyle w:val="Heading2"/>
        <w:spacing w:after="100"/>
      </w:pPr>
      <w:r>
        <w:t xml:space="preserve">WinRed-Style Conduit Functionality</w:t>
      </w:r>
    </w:p>
    <w:p>
      <w:pPr>
        <w:spacing w:after="150"/>
      </w:pPr>
      <w:r>
        <w:t xml:space="preserve">WinRed operates as a conduit platform where multiple campaigns can use the same infrastructure. Our implementation includes conduit functionality allowing BroyhillGOP to support multiple campaign committees, state parties, and coordinated organizations. Each entity maintains separate fundraising pages, donor records, and financial reporting while sharing underlying infrastructure. The system enforces strict data isolation, ensuring campaigns only access their own records unless explicit permissions are granted.</w:t>
      </w:r>
    </w:p>
    <w:p>
      <w:pPr>
        <w:pStyle w:val="Heading2"/>
        <w:spacing w:after="100"/>
      </w:pPr>
      <w:r>
        <w:t xml:space="preserve">Stripe Checkout Integration</w:t>
      </w:r>
    </w:p>
    <w:p>
      <w:pPr>
        <w:spacing w:after="150"/>
      </w:pPr>
      <w:r>
        <w:t xml:space="preserve">Stripe Checkout provides pre-built checkout flows that handle payment collection, validation, and processing. Checkout pages are optimized for conversion, using smart defaults and progressive disclosure to reduce friction. Checkout handles all payment method options, automatically determining which payment methods are available based on geographic location, browser capabilities, and customer preferences. Stripe handles all PCI compliance, tokenization, and fraud detection, allowing the platform to focus on campaign-specific features.</w:t>
      </w:r>
    </w:p>
    <w:p>
      <w:pPr>
        <w:pStyle w:val="Heading2"/>
        <w:spacing w:after="100"/>
      </w:pPr>
      <w:r>
        <w:t xml:space="preserve">Refund and Chargeback Management</w:t>
      </w:r>
    </w:p>
    <w:p>
      <w:pPr>
        <w:spacing w:after="150"/>
      </w:pPr>
      <w:r>
        <w:t xml:space="preserve">The refund management system enables authorized campaign staff to process full and partial refunds. Refunds can be issued to the original payment method or stored as account credits. The system tracks refund reasons, approvals, and processing status. Chargebacks are automatically detected and campaign staff are notified immediately. The platform provides tools to dispute chargebacks, gathering evidence of transaction legitimacy and customer consent. Chargeback history is tracked to identify patterns that may indicate fraud or payment method issues.</w:t>
      </w:r>
    </w:p>
    <w:p>
      <w:pPr>
        <w:pStyle w:val="Heading2"/>
        <w:spacing w:after="100"/>
      </w:pPr>
      <w:r>
        <w:t xml:space="preserve">Failed Payment Recovery</w:t>
      </w:r>
    </w:p>
    <w:p>
      <w:pPr>
        <w:spacing w:after="150"/>
      </w:pPr>
      <w:r>
        <w:t xml:space="preserve">Failed payment recovery is critical for maximizing donation revenue. When payments fail, the system automatically attempts recovery using intelligent retry logic. Failed one-time donations trigger immediate retry, with subsequent retries using exponential backoff. Failed recurring donations trigger email notifications and dashboard alerts, allowing donors to update payment methods. For high-value transactions, campaign staff can manually contact donors to recover failed payments. Recovery success rates are tracked and optimized through A/B testing of messaging and timing.</w:t>
      </w:r>
    </w:p>
    <w:p>
      <w:pPr>
        <w:pStyle w:val="Heading2"/>
        <w:spacing w:after="100"/>
      </w:pPr>
      <w:r>
        <w:t xml:space="preserve">PCI Compliance Framework</w:t>
      </w:r>
    </w:p>
    <w:p>
      <w:pPr>
        <w:spacing w:after="150"/>
      </w:pPr>
      <w:r>
        <w:t xml:space="preserve">PCI DSS (Payment Card Industry Data Security Standard) compliance is mandatory for any platform handling credit card data. Our implementation achieves PCI Level 1 compliance through Stripe's tokenization infrastructure. Raw card data never touches campaign servers; Stripe handles all card processing. The platform maintains strict access controls, encrypts all data in transit and at rest, and undergoes regular security audits. Annual PCI audits verify compliance and identify remediation requirements.</w:t>
      </w:r>
    </w:p>
    <w:p>
      <w:pPr>
        <w:pStyle w:val="Heading2"/>
        <w:spacing w:after="100"/>
      </w:pPr>
      <w:r>
        <w:t xml:space="preserve">Receipt Generation</w:t>
      </w:r>
    </w:p>
    <w:p>
      <w:pPr>
        <w:spacing w:after="150"/>
      </w:pPr>
      <w:r>
        <w:t xml:space="preserve">Automated receipt generation creates professional donation receipts immediately after successful payment. Receipts include donation amount, date, payment method type, transaction ID, campaign name, and donation purpose. Receipts are delivered via email and stored in donor accounts for future reference. Receipts can be customized with campaign branding, messaging, and thank-you content. The system maintains compliant records suitable for tax documentation and FEC filing requirements.</w:t>
      </w:r>
    </w:p>
    <w:p>
      <w:pPr>
        <w:pStyle w:val="Heading2"/>
        <w:spacing w:after="100"/>
      </w:pPr>
      <w:r>
        <w:t xml:space="preserve">FEC Compliance</w:t>
      </w:r>
    </w:p>
    <w:p>
      <w:pPr>
        <w:spacing w:after="150"/>
      </w:pPr>
      <w:r>
        <w:t xml:space="preserve">Federal Election Commission compliance ensures all donations comply with federal contribution limits and disclosure requirements. The system automatically captures required information including donor name, address, occupation, and employer. Contribution limits are automatically enforced at the point of donation, preventing non-compliant donations from being processed. Aggregate tracking prevents individuals from exceeding annual contribution limits across multiple donations. All transactions are recorded in FEC-compliant format and can be exported directly for FEC filing.</w:t>
      </w:r>
    </w:p>
    <w:p>
      <w:pPr>
        <w:pStyle w:val="Heading2"/>
        <w:spacing w:after="100"/>
      </w:pPr>
      <w:r>
        <w:t xml:space="preserve">Donor Information Capture</w:t>
      </w:r>
    </w:p>
    <w:p>
      <w:pPr>
        <w:spacing w:after="150"/>
      </w:pPr>
      <w:r>
        <w:t xml:space="preserve">Comprehensive donor information capture enables effective fundraising and compliance. Forms collect name, address, email, phone, occupation, employer, donation purpose, and any special instructions. Information is captured progressively through the donation flow, with validation ensuring data quality. The system integrates with address verification services to ensure valid mailing addresses. Captured information populates donor profiles, enabling personalized communications and compliance reporting.</w:t>
      </w:r>
    </w:p>
    <w:p>
      <w:pPr>
        <w:pStyle w:val="Heading2"/>
        <w:spacing w:after="100"/>
      </w:pPr>
      <w:r>
        <w:t xml:space="preserve">A/B Testing Framework</w:t>
      </w:r>
    </w:p>
    <w:p>
      <w:pPr>
        <w:spacing w:after="150"/>
      </w:pPr>
      <w:r>
        <w:t xml:space="preserve">A/B testing enables data-driven optimization of donation pages and forms. Campaigns can test variations in messaging, imagery, form layout, required fields, and suggested donation amounts. The system randomly assigns visitors to test variations and tracks conversion metrics for each variant. Statistical significance is calculated automatically, with results dashboards showing winning variations. A/B test results inform ongoing optimization efforts, continuously improving donation form performance.</w:t>
      </w:r>
    </w:p>
    <w:p>
      <w:pPr>
        <w:pStyle w:val="Heading2"/>
        <w:spacing w:after="100"/>
      </w:pPr>
      <w:r>
        <w:t xml:space="preserve">Tip Jar Functionality</w:t>
      </w:r>
    </w:p>
    <w:p>
      <w:pPr>
        <w:spacing w:after="150"/>
      </w:pPr>
      <w:r>
        <w:t xml:space="preserve">Tip jar functionality enables supporters to add voluntary tips to their donations. After completing a donation, donors see optional tip amounts or a custom tip field. Tips are processed separately from donations for accounting purposes. Tip revenue is tracked independently and can be allocated to operational costs or specific campaign initiatives. Studies show tip jar features increase average donation values by 8-15% without reducing overall conversion rates.</w:t>
      </w:r>
    </w:p>
    <w:p>
      <w:pPr>
        <w:pStyle w:val="Heading2"/>
        <w:spacing w:after="100"/>
      </w:pPr>
      <w:r>
        <w:t xml:space="preserve">Bundling and Gift Bundling</w:t>
      </w:r>
    </w:p>
    <w:p>
      <w:pPr>
        <w:spacing w:after="200"/>
      </w:pPr>
      <w:r>
        <w:t xml:space="preserve">Bundling allows donors to combine donations to multiple campaign committees or causes in a single transaction. This is particularly valuable for coordinated fundraising efforts where donors want to support multiple related entities. The system automatically splits proceeds among recipients, ensures each recipient receives FEC-compliant information, and generates separate receipts for each component. Bundling increases donation sizes by enabling donors to make one consolidated gift instead of multiple separate transactions.</w:t>
      </w:r>
    </w:p>
    <w:p>
      <w:pPr>
        <w:pStyle w:val="Heading2"/>
        <w:spacing w:after="100"/>
      </w:pPr>
      <w:r>
        <w:t xml:space="preserve">Feature Mapping to BroyhillGOP</w:t>
      </w:r>
    </w:p>
    <w:p>
      <w:pPr>
        <w:spacing w:after="80"/>
      </w:pPr>
      <w:r>
        <w:t xml:space="preserve">Campaign Donation Pages: Primary fundraising vehicle supporting all donors and gift levels, with unlimited page variations and full customization.</w:t>
      </w:r>
    </w:p>
    <w:p>
      <w:pPr>
        <w:spacing w:after="80"/>
      </w:pPr>
      <w:r>
        <w:t xml:space="preserve">Event Ticket Sales: Donation forms configured for event revenue, collecting attendee information and generating ticket confirmations.</w:t>
      </w:r>
    </w:p>
    <w:p>
      <w:pPr>
        <w:spacing w:after="80"/>
      </w:pPr>
      <w:r>
        <w:t xml:space="preserve">Recurring Monthly Giving: Dedicated flows for converting one-time donors to recurring contributors, with personalized upsell messaging.</w:t>
      </w:r>
    </w:p>
    <w:p>
      <w:pPr>
        <w:spacing w:after="80"/>
      </w:pPr>
      <w:r>
        <w:t xml:space="preserve">Major Gift Processing: Enhanced forms for high-value donations with additional verification, follow-up workflows, and premium thank-you sequences.</w:t>
      </w:r>
    </w:p>
    <w:p>
      <w:pPr>
        <w:spacing w:after="80"/>
      </w:pPr>
      <w:r>
        <w:t xml:space="preserve">Pledge Management: Donors commit to future donations with payment scheduled for specified dates, enabling campaign cash flow planning.</w:t>
      </w:r>
    </w:p>
    <w:p>
      <w:pPr>
        <w:spacing w:after="80"/>
      </w:pPr>
      <w:r>
        <w:t xml:space="preserve">Merchandise Store: Branded campaign store integrated with donation processing, enabling combined purchases.</w:t>
      </w:r>
    </w:p>
    <w:p>
      <w:pPr>
        <w:spacing w:after="80"/>
      </w:pPr>
      <w:r>
        <w:t xml:space="preserve">P2P Fundraising Collection: Individual supporters create personal fundraising pages, with donations aggregated to campaign.</w:t>
      </w:r>
    </w:p>
    <w:p>
      <w:pPr>
        <w:spacing w:after="80"/>
      </w:pPr>
      <w:r>
        <w:t xml:space="preserve">Phone/Mail Donation Entry: Staff can manually enter donations from phone or mail contacts with same compliance and processing.</w:t>
      </w:r>
    </w:p>
    <w:p>
      <w:pPr>
        <w:spacing w:after="80"/>
      </w:pPr>
      <w:r>
        <w:t xml:space="preserve">Text-to-Give: SMS campaigns can include donation links that launch pre-filled donation forms.</w:t>
      </w:r>
    </w:p>
    <w:p>
      <w:pPr>
        <w:spacing w:after="200"/>
      </w:pPr>
      <w:r>
        <w:t xml:space="preserve">In-Person Card Processing: Mobile processing enables event staff to collect credit card donations using tablet or phone devices.</w:t>
      </w:r>
    </w:p>
    <w:p>
      <w:pPr>
        <w:pageBreakBefore/>
      </w:pPr>
    </w:p>
    <w:p>
      <w:pPr>
        <w:pStyle w:val="Heading1"/>
        <w:spacing w:after="200"/>
      </w:pPr>
      <w:r>
        <w:t xml:space="preserve">SECTION 2: USER JOURNEY</w:t>
      </w:r>
    </w:p>
    <w:p>
      <w:pPr>
        <w:spacing w:after="200"/>
      </w:pPr>
      <w:r>
        <w:t xml:space="preserve">The user journey in the E02 Donation Processing ecosystem centers on campaign leadership visibility into real-time fundraising activity combined with immediate action capability. Campaign staff, volunteers, and leadership require constant awareness of fundraising progress, donor engagement metrics, and system health. The dashboard architecture provides persistent visibility into critical metrics while enabling one-click actions that launch fundraising initiatives, acknowledge donors, and respond to campaign needs.</w:t>
      </w:r>
    </w:p>
    <w:p>
      <w:pPr>
        <w:pStyle w:val="Heading2"/>
        <w:spacing w:after="100"/>
      </w:pPr>
      <w:r>
        <w:t xml:space="preserve">Real-Time Donation Ticker</w:t>
      </w:r>
    </w:p>
    <w:p>
      <w:pPr>
        <w:spacing w:after="150"/>
      </w:pPr>
      <w:r>
        <w:t xml:space="preserve">A prominent real-time donation ticker displays all donations as they process successfully. Each donation entry shows donor name (or "Anonymous Supporter" for anonymous gifts), donation amount, and time received. The ticker scrolls continuously, providing constant visibility into campaign momentum. During major fundraising pushes or response periods, the ticker accelerates as donation volume increases, creating visible fundraising momentum. The ticker is prominently displayed on all team dashboards, visible throughout the command center, and can be broadcast in campaign offices on dedicated displays.</w:t>
      </w:r>
    </w:p>
    <w:p>
      <w:pPr>
        <w:pStyle w:val="Heading2"/>
        <w:spacing w:after="100"/>
      </w:pPr>
      <w:r>
        <w:t xml:space="preserve">Daily Fundraising Totals</w:t>
      </w:r>
    </w:p>
    <w:p>
      <w:pPr>
        <w:spacing w:after="150"/>
      </w:pPr>
      <w:r>
        <w:t xml:space="preserve">Dashboard headers display key fundraising metrics including today's total raised, monthly total, quarterly total, and year-to-date total. These metrics update in real-time as donations process. Progress bars show progress toward daily, weekly, and monthly goals when goals are configured. Goal achievement percentages and projected totals are displayed, helping staff understand whether the campaign is on pace to hit targets. Comparison metrics show performance versus previous periods, enabling staff to understand current momentum relative to historical performance.</w:t>
      </w:r>
    </w:p>
    <w:p>
      <w:pPr>
        <w:pStyle w:val="Heading2"/>
        <w:spacing w:after="100"/>
      </w:pPr>
      <w:r>
        <w:t xml:space="preserve">Recent Donor Display</w:t>
      </w:r>
    </w:p>
    <w:p>
      <w:pPr>
        <w:spacing w:after="150"/>
      </w:pPr>
      <w:r>
        <w:t xml:space="preserve">A prominent dashboard section displays recent donors with donation amounts. Recent donor lists show the most recent 10-50 donations depending on dashboard configuration. For each donor, the display shows name, amount, donation method (online, phone, mail, in-person), and time received. Staff can click on donors to access their full profile, donation history, and previous interactions. The system can optionally hide certain donor information based on role-based access controls (e.g., hiding names of anonymous donors).</w:t>
      </w:r>
    </w:p>
    <w:p>
      <w:pPr>
        <w:pStyle w:val="Heading2"/>
        <w:spacing w:after="100"/>
      </w:pPr>
      <w:r>
        <w:t xml:space="preserve">Failed Payment Alerts</w:t>
      </w:r>
    </w:p>
    <w:p>
      <w:pPr>
        <w:spacing w:after="150"/>
      </w:pPr>
      <w:r>
        <w:t xml:space="preserve">When payment failures occur, staff are immediately notified through dashboard alerts. Failed payment alerts show failed transaction details including donor identity, attempted amount, failure reason, and recommended actions. Failed recurring donations receive special attention as they indicate a donor who wants to give but whose payment method is problematic. Alerts include quick action buttons to contact donors, process manual refunds, or retry failed payments. Failed payment recovery tasks populate the command center task queue, ensuring missed revenue is recovered.</w:t>
      </w:r>
    </w:p>
    <w:p>
      <w:pPr>
        <w:pStyle w:val="Heading2"/>
        <w:spacing w:after="100"/>
      </w:pPr>
      <w:r>
        <w:t xml:space="preserve">One-Click Donation Page Creation</w:t>
      </w:r>
    </w:p>
    <w:p>
      <w:pPr>
        <w:spacing w:after="150"/>
      </w:pPr>
      <w:r>
        <w:t xml:space="preserve">Campaign staff can create new donation pages with a single click. The creation flow takes 60 seconds: select a template, customize messaging, upload imagery, configure donation amounts, and publish. The system pre-fills standard campaign information, requiring only minimal customization for typical pages. Pages are immediately shareable via link and embeddable on campaign websites. Staff can create multiple variation pages for A/B testing, enabling rapid experimentation with messaging, layout, and design.</w:t>
      </w:r>
    </w:p>
    <w:p>
      <w:pPr>
        <w:pStyle w:val="Heading2"/>
        <w:spacing w:after="100"/>
      </w:pPr>
      <w:r>
        <w:t xml:space="preserve">Automatic FEC Compliance</w:t>
      </w:r>
    </w:p>
    <w:p>
      <w:pPr>
        <w:spacing w:after="200"/>
      </w:pPr>
      <w:r>
        <w:t xml:space="preserve">Every transaction automatically enforces FEC compliance without requiring manual review or intervention. Donation forms automatically include required disclaimers, collect required donor information, and enforce contribution limits. The system prevents non-compliant donations from being processed, with donors notified immediately of any issues. Donation records automatically export in FEC-compliant format for filing purposes. Campaign staff can focus on fundraising strategy rather than compliance checking, knowing the system enforces requirements automatically.</w:t>
      </w:r>
    </w:p>
    <w:p>
      <w:pPr>
        <w:pageBreakBefore/>
      </w:pPr>
    </w:p>
    <w:p>
      <w:pPr>
        <w:pStyle w:val="Heading1"/>
        <w:spacing w:after="200"/>
      </w:pPr>
      <w:r>
        <w:t xml:space="preserve">SECTION 3: COMMAND CENTER DIRECTORY</w:t>
      </w:r>
    </w:p>
    <w:p>
      <w:pPr>
        <w:spacing w:after="200"/>
      </w:pPr>
      <w:r>
        <w:t xml:space="preserve">The Command Center Directory provides detailed technical specifications for all user-facing components in the E02 Donation Processing ecosystem. This section documents fields, data types, sources, and descriptions for every element of the fundraising command center. Both light and dark theme variants are supported, enabling users to select interface themes matching their preferences.</w:t>
      </w:r>
    </w:p>
    <w:p>
      <w:pPr>
        <w:pStyle w:val="Heading2"/>
        <w:spacing w:after="100"/>
      </w:pPr>
      <w:r>
        <w:t xml:space="preserve">Donation Pages Module</w:t>
      </w:r>
    </w:p>
    <w:p>
      <w:pPr>
        <w:spacing w:after="150"/>
      </w:pPr>
      <w:r>
        <w:t xml:space="preserve">Active Pages: Displays all active donation pages with status, creation date, total raised, conversion rate, and visitor count. Data source: Page Analytics Database. Fields include page_id (UUID), page_name (String), status (Active/Draft/Paused), created_date (DateTime), total_raised (Decimal), conversion_rate (Percentage), visitor_count (Integer), last_updated (DateTime), updated_by (User ID). Theme support: Light shows blue headers with white cards; Dark shows dark backgrounds with accent colors.</w:t>
      </w:r>
    </w:p>
    <w:p>
      <w:pPr>
        <w:spacing w:after="150"/>
      </w:pPr>
      <w:r>
        <w:t xml:space="preserve">Create New Page: Quick-start interface for creating donation pages with template selection, branding customization, and messaging configuration. Data source: Page Template Library. Collects: page_name (String), template_id (UUID), campaign_logo (File Upload), page_title (String), page_description (Text), donation_ask_amounts (Decimal Array), thank_you_message (Text), recipient_organization (Dropdown). Theme support: Light uses friendly blue accents; Dark uses white accents against dark backgrounds.</w:t>
      </w:r>
    </w:p>
    <w:p>
      <w:pPr>
        <w:spacing w:after="150"/>
      </w:pPr>
      <w:r>
        <w:t xml:space="preserve">A/B Test Variants: Manages page variations for statistical testing with variant tracking, traffic allocation, and performance comparison. Data source: A/B Testing Engine. Fields include test_id (UUID), original_page_id (UUID), variant_page_id (UUID), traffic_split (Percentage), visitors_original (Integer), visitors_variant (Integer), conversions_original (Integer), conversions_variant (Integer), conversion_rate_original (Percentage), conversion_rate_variant (Percentage), statistical_significance (Percentage), winner (Variant ID), test_status (Active/Complete/Paused). Theme support: Light displays comparison metrics in clean cards; Dark uses contrast colors for variant comparison.</w:t>
      </w:r>
    </w:p>
    <w:p>
      <w:pPr>
        <w:spacing w:after="150"/>
      </w:pPr>
      <w:r>
        <w:t xml:space="preserve">Landing Page Builder: Visual editor for creating custom donation pages with drag-and-drop elements, real-time preview, and responsive design. Data source: Page Builder Engine. Elements include: headline (Text), subheading (Text), hero_image (Image), body_content (Rich Text), video_embed (URL), donation_form_position (Dropdown), social_proof_enabled (Boolean), fundraising_goal (Decimal), goal_progress_bar_enabled (Boolean), suggested_amounts (Decimal Array), recurring_option_enabled (Boolean), merchandise_upsell_enabled (Boolean), thank_you_redirect_url (URL). Theme support: Builder provides light canvas with dark preview option.</w:t>
      </w:r>
    </w:p>
    <w:p>
      <w:pPr>
        <w:spacing w:after="200"/>
      </w:pPr>
      <w:r>
        <w:t xml:space="preserve">Embeddable Widget: Code snippets for embedding donation forms on external websites with customizable appearance and tracking. Data source: Widget Generator. Fields include widget_id (UUID), embed_code (Text), widget_type (Dropdown: popup/sidebar/inline), custom_colors (Object), tracking_enabled (Boolean), conversion_pixel (Code), analytics_url (URL), responsive_enabled (Boolean). Theme support: Widgets inherit website styling but can override colors.</w:t>
      </w:r>
    </w:p>
    <w:p>
      <w:pPr>
        <w:pStyle w:val="Heading2"/>
        <w:spacing w:after="100"/>
      </w:pPr>
      <w:r>
        <w:t xml:space="preserve">Donation Forms Module</w:t>
      </w:r>
    </w:p>
    <w:p>
      <w:pPr>
        <w:spacing w:after="150"/>
      </w:pPr>
      <w:r>
        <w:t xml:space="preserve">One-Time Gift Forms: Standard donation forms for single contributions, configured with custom messaging and suggested amounts. Data source: Form Configuration Database. Fields include form_id (UUID), form_name (String), suggested_amounts (Decimal Array), custom_message (Text), collect_occupation (Boolean), collect_employer (Boolean), allow_anonymous (Boolean), success_message (Text), form_type (Literal: "one_time"), created_date (DateTime). Theme support: Light theme uses friendly blues; Dark theme uses high-contrast text.</w:t>
      </w:r>
    </w:p>
    <w:p>
      <w:pPr>
        <w:spacing w:after="150"/>
      </w:pPr>
      <w:r>
        <w:t xml:space="preserve">Recurring Monthly Forms: Specialized forms for converting supporters to recurring monthly donors with subscription benefits messaging. Data source: Form Configuration Database. Fields include form_id (UUID), form_name (String), monthly_amount_suggestions (Decimal Array), subscription_benefits (Text Array), recurring_commitment (Integer: months), auto_renewal_enabled (Boolean), billing_date (Integer: day of month), cancel_instructions (Text), success_message (Text), form_type (Literal: "recurring_monthly"). Theme support: Emphasizes commitment messaging with accent colors.</w:t>
      </w:r>
    </w:p>
    <w:p>
      <w:pPr>
        <w:spacing w:after="150"/>
      </w:pPr>
      <w:r>
        <w:t xml:space="preserve">Pledge Forms: Forms enabling donors to commit to future contributions on specified dates. Data source: Form Configuration Database. Fields include form_id (UUID), pledge_amount (Decimal), pledge_date (Date), payment_method_on_date (Dropdown), fulfillment_reminder_days_before (Integer), pledge_status (Dropdown: Pending/Confirmed/Fulfilled/Cancelled), form_type (Literal: "pledge"). Theme support: Uses clear date pickers and confirmation messaging.</w:t>
      </w:r>
    </w:p>
    <w:p>
      <w:pPr>
        <w:spacing w:after="150"/>
      </w:pPr>
      <w:r>
        <w:t xml:space="preserve">Major Gift Forms: Enhanced forms for high-value donations with additional fields, verification, and follow-up workflows. Data source: Form Configuration Database. Fields include form_id (UUID), minimum_gift_amount (Decimal), gift_designation (Text), gift_recognition (Boolean), named_gift_option (Boolean), matching_gift_eligible (Boolean), acknowledgment_preference (Dropdown), major_donor_id (UUID), assigned_fundraiser (User ID), form_type (Literal: "major_gift"). Theme support: Premium appearance with white backgrounds.</w:t>
      </w:r>
    </w:p>
    <w:p>
      <w:pPr>
        <w:spacing w:after="150"/>
      </w:pPr>
      <w:r>
        <w:t xml:space="preserve">Event Ticket Forms: Forms configured for event ticketing with attendee information collection and ticket delivery. Data source: Form Configuration Database. Fields include form_id (UUID), event_id (UUID), ticket_tier (Dropdown), quantity (Integer), attendee_names (String Array), dietary_restrictions (Text), seating_preference (Text), add_donation_option (Boolean), donation_amount (Decimal), form_type (Literal: "event_ticket"). Theme support: Emphasizes event details and benefits.</w:t>
      </w:r>
    </w:p>
    <w:p>
      <w:pPr>
        <w:spacing w:after="150"/>
      </w:pPr>
      <w:r>
        <w:t xml:space="preserve">Merchandise Forms: Forms combining donations with merchandise purchases. Data source: Form Configuration Database. Fields include form_id (UUID), merchandise_items (Object Array with item_id, name, price, quantity), donation_amount (Decimal), gift_wrap_option (Boolean), shipping_address (Object), form_type (Literal: "merchandise"). Theme support: Product-focused with image galleries.</w:t>
      </w:r>
    </w:p>
    <w:p>
      <w:pPr>
        <w:spacing w:after="150"/>
      </w:pPr>
      <w:r>
        <w:t xml:space="preserve">Text-to-Give Forms: Pre-filled forms launched from SMS text messages with minimal fields for mobile conversion. Data source: Form Configuration Database. Fields include form_id (UUID), campaign_code (String), pre_filled_amount (Decimal), campaign_message (Text), shortcode (String), form_type (Literal: "text_to_give"). Theme support: Mobile-optimized with large buttons.</w:t>
      </w:r>
    </w:p>
    <w:p>
      <w:pPr>
        <w:spacing w:after="150"/>
      </w:pPr>
      <w:r>
        <w:t xml:space="preserve">Phone Entry Forms: Staff forms for entering donations received by phone with donor information collection. Data source: Form Configuration Database. Fields include form_id (UUID), staff_member_id (User ID), donor_name (String), phone_number (String), email (String), amount (Decimal), payment_method (Dropdown), notes (Text), call_time (DateTime), form_type (Literal: "phone_entry"). Theme support: Optimized for rapid staff data entry.</w:t>
      </w:r>
    </w:p>
    <w:p>
      <w:pPr>
        <w:spacing w:after="200"/>
      </w:pPr>
      <w:r>
        <w:t xml:space="preserve">Mail Entry Forms: Staff forms for entering donations received by mail with check/money order information. Data source: Form Configuration Database. Fields include form_id (UUID), staff_member_id (User ID), donor_name (String), check_number (String), amount (Decimal), mail_received_date (Date), mailbox_location (String), notes (Text), form_type (Literal: "mail_entry"). Theme support: Designed for bulk mail processing.</w:t>
      </w:r>
    </w:p>
    <w:p>
      <w:pPr>
        <w:pStyle w:val="Heading2"/>
        <w:spacing w:after="100"/>
      </w:pPr>
      <w:r>
        <w:t xml:space="preserve">Payment Management Module</w:t>
      </w:r>
    </w:p>
    <w:p>
      <w:pPr>
        <w:spacing w:after="150"/>
      </w:pPr>
      <w:r>
        <w:t xml:space="preserve">Recent Transactions: Real-time display of processed donations with donor, amount, method, and timestamp. Data source: Payment Processing Database. Fields include transaction_id (UUID), donor_id (UUID), donor_name (String), amount (Decimal), payment_method (String), currency (String), transaction_status (String), created_timestamp (DateTime), processed_timestamp (DateTime), receipt_sent (Boolean). Theme support: Light shows clean transaction rows; Dark shows high-contrast text.</w:t>
      </w:r>
    </w:p>
    <w:p>
      <w:pPr>
        <w:spacing w:after="150"/>
      </w:pPr>
      <w:r>
        <w:t xml:space="preserve">Pending Payments: Donations in progress with processing status and ETA. Data source: Payment Processing Database. Fields include transaction_id (UUID), donor_id (UUID), amount (Decimal), payment_method (String), initiated_timestamp (DateTime), expected_completion (DateTime), current_status (String), processing_step (String). Theme support: Shows progress bars with timing estimates.</w:t>
      </w:r>
    </w:p>
    <w:p>
      <w:pPr>
        <w:spacing w:after="150"/>
      </w:pPr>
      <w:r>
        <w:t xml:space="preserve">Failed Payments: Display of declined transactions with failure reasons and recovery options. Data source: Payment Processing Database. Fields include transaction_id (UUID), donor_id (UUID), donor_name (String), amount (Decimal), payment_method (String), failure_reason (String), failure_code (String), first_failure_time (DateTime), retry_count (Integer), next_retry_scheduled (DateTime), recovery_action_available (Boolean), notes (Text). Theme support: Highlights with warning colors to draw attention.</w:t>
      </w:r>
    </w:p>
    <w:p>
      <w:pPr>
        <w:spacing w:after="150"/>
      </w:pPr>
      <w:r>
        <w:t xml:space="preserve">Refund Queue: Pending refunds with approval status and processing timeline. Data source: Refund Management Database. Fields include refund_id (UUID), transaction_id (UUID), donor_id (UUID), refund_amount (Decimal), original_amount (Decimal), refund_reason (String), requested_by (User ID), approval_status (String), approved_by (User ID), processed_timestamp (DateTime). Theme support: Uses neutral colors with clear approval workflow.</w:t>
      </w:r>
    </w:p>
    <w:p>
      <w:pPr>
        <w:spacing w:after="150"/>
      </w:pPr>
      <w:r>
        <w:t xml:space="preserve">Recurring Billing: Active recurring donations with next billing date and status. Data source: Recurring Billing Database. Fields include recurring_id (UUID), donor_id (UUID), donor_name (String), monthly_amount (Decimal), billing_date (Integer), status (Active/Paused/Cancelled), next_billing_date (DateTime), last_billing_date (DateTime), billing_count (Integer), total_lifetime_value (Decimal), cancellation_reason (String if cancelled). Theme support: Organized by billing cycle with upcoming dates highlighted.</w:t>
      </w:r>
    </w:p>
    <w:p>
      <w:pPr>
        <w:spacing w:after="200"/>
      </w:pPr>
      <w:r>
        <w:t xml:space="preserve">ACH Processing: Bank transfer status and settlement information. Data source: ACH Processor Database. Fields include ach_id (UUID), donor_id (UUID), amount (Decimal), bank_account_last_four (String), initiated_date (DateTime), settlement_date (DateTime), status (Pending/Settled/Failed), fee_amount (Decimal), verification_status (String). Theme support: Shows settlement timeline and fee calculations.</w:t>
      </w:r>
    </w:p>
    <w:p>
      <w:pPr>
        <w:pStyle w:val="Heading2"/>
        <w:spacing w:after="100"/>
      </w:pPr>
      <w:r>
        <w:t xml:space="preserve">Donor Experience Module</w:t>
      </w:r>
    </w:p>
    <w:p>
      <w:pPr>
        <w:spacing w:after="150"/>
      </w:pPr>
      <w:r>
        <w:t xml:space="preserve">Thank-You Page Builder: Editor for creating custom thank-you pages displayed after successful donations. Data source: Page Configuration Database. Fields include thank_you_page_id (UUID), headline (Text), body_message (Rich Text), next_action_message (Text), donation_details_visible (Boolean), social_share_enabled (Boolean), share_message (Text), redirect_delay_seconds (Integer), redirect_url (URL). Theme support: Light theme uses warm colors; Dark theme uses accent colors.</w:t>
      </w:r>
    </w:p>
    <w:p>
      <w:pPr>
        <w:spacing w:after="150"/>
      </w:pPr>
      <w:r>
        <w:t xml:space="preserve">Receipt Templates: Email receipt customization with branding, messaging, and tax documentation. Data source: Template Configuration Database. Fields include template_id (UUID), template_name (String), subject_line (String), header_image (File Upload), body_html (Rich Text), footer_text (Text), include_tax_deduction_language (Boolean), donation_details_format (Dropdown). Theme support: Templates display both plain text and HTML preview.</w:t>
      </w:r>
    </w:p>
    <w:p>
      <w:pPr>
        <w:spacing w:after="150"/>
      </w:pPr>
      <w:r>
        <w:t xml:space="preserve">Upsell Prompts: Configurable prompts displayed after donation completion. Data source: Upsell Configuration Database. Fields include upsell_id (UUID), trigger_condition (String), upsell_type (Dropdown: increase_amount/recurring/merchandise/related_cause), message_text (Text), suggested_amount (Decimal), success_metric_tracked (String), a_b_test_variant (Boolean). Theme support: Uses attention-grabbing colors with clear call-to-action buttons.</w:t>
      </w:r>
    </w:p>
    <w:p>
      <w:pPr>
        <w:spacing w:after="150"/>
      </w:pPr>
      <w:r>
        <w:t xml:space="preserve">Matching Gift Calculator: Tool for identifying and calculating matching gift opportunities. Data source: Matching Gift Database. Fields include employer_name (String), employer_id (UUID), matching_formula (String), minimum_gift (Decimal), maximum_gift (Decimal), requires_form (Boolean), processing_time_days (Integer). Theme support: Shows calculation results with clear matching opportunity display.</w:t>
      </w:r>
    </w:p>
    <w:p>
      <w:pPr>
        <w:spacing w:after="200"/>
      </w:pPr>
      <w:r>
        <w:t xml:space="preserve">Donor Wall: Public display of top donors with customizable visibility settings. Data source: Donor Profile Database. Fields include donor_id (UUID), display_name (String), donation_amount (Decimal), donation_date (DateTime), public_visibility (Boolean), anonymous_display (Boolean), location (String), donor_message (Text, optional). Theme support: Professional gallery layout with recognition levels.</w:t>
      </w:r>
    </w:p>
    <w:p>
      <w:pPr>
        <w:pStyle w:val="Heading2"/>
        <w:spacing w:after="100"/>
      </w:pPr>
      <w:r>
        <w:t xml:space="preserve">FEC Compliance Module</w:t>
      </w:r>
    </w:p>
    <w:p>
      <w:pPr>
        <w:spacing w:after="150"/>
      </w:pPr>
      <w:r>
        <w:t xml:space="preserve">Disclaimer Manager: Control over FEC disclaimer text displayed on all forms. Data source: Compliance Configuration Database. Fields include disclaimer_id (UUID), disclaimer_text (Text), version_number (String), effective_date (DateTime), applies_to_forms (UUID Array), is_active (Boolean), last_updated_by (User ID). Theme support: Shows disclaimer text with full-screen preview option.</w:t>
      </w:r>
    </w:p>
    <w:p>
      <w:pPr>
        <w:spacing w:after="150"/>
      </w:pPr>
      <w:r>
        <w:t xml:space="preserve">Occupation/Employer Capture: Configuration for collecting required FEC compliance information. Data source: Form Field Configuration Database. Fields include field_id (UUID), field_type (Literal: "occupation" or "employer"), required (Boolean), display_label (String), placeholder_text (String), validation_rules (String), forms_that_require (UUID Array). Theme support: Shows form preview with fields highlighted.</w:t>
      </w:r>
    </w:p>
    <w:p>
      <w:pPr>
        <w:spacing w:after="150"/>
      </w:pPr>
      <w:r>
        <w:t xml:space="preserve">Contribution Limits: System configuration for FEC contribution limit enforcement. Data source: Compliance Configuration Database. Fields include limit_id (UUID), contribution_limit_type (String), individual_per_cycle_limit (Decimal), aggregate_limit_calculation (String), enforcement_action (Dropdown: block/warn/flag_for_review). Theme support: Displays current limits with remaining available amounts.</w:t>
      </w:r>
    </w:p>
    <w:p>
      <w:pPr>
        <w:spacing w:after="150"/>
      </w:pPr>
      <w:r>
        <w:t xml:space="preserve">Aggregate Tracking: Monitoring of individual donor aggregate contributions across transaction types. Data source: Donor Aggregate Database. Fields include tracking_id (UUID), donor_id (UUID), cycle_year (Integer), aggregate_amount_to_date (Decimal), contribution_count (Integer), last_contribution_date (DateTime), remaining_allowed (Decimal), limit_status (String). Theme support: Shows aggregate totals with progress toward limits.</w:t>
      </w:r>
    </w:p>
    <w:p>
      <w:pPr>
        <w:spacing w:after="200"/>
      </w:pPr>
      <w:r>
        <w:t xml:space="preserve">Filing Queue: Transactions awaiting FEC filing export. Data source: Filing Database. Fields include filing_id (UUID), filing_date (DateTime), filing_period (String), included_transactions_count (Integer), total_amount (Decimal), status (Pending/Filed/Submitted), filing_url (URL). Theme support: Shows filing status with document download links.</w:t>
      </w:r>
    </w:p>
    <w:p>
      <w:pPr>
        <w:pageBreakBefore/>
      </w:pPr>
    </w:p>
    <w:p>
      <w:pPr>
        <w:pStyle w:val="Heading1"/>
        <w:spacing w:after="200"/>
      </w:pPr>
      <w:r>
        <w:t xml:space="preserve">SECTION 4: ADMIN PANEL DIRECTORY</w:t>
      </w:r>
    </w:p>
    <w:p>
      <w:pPr>
        <w:spacing w:after="200"/>
      </w:pPr>
      <w:r>
        <w:t xml:space="preserve">The Admin Panel Directory provides technical specifications for administrative dashboards used by campaign leadership and finance staff. These dashboards aggregate metrics, track performance, and provide strategic insights into fundraising operations. Dashboards support both black (dark) and light color schemes.</w:t>
      </w:r>
    </w:p>
    <w:p>
      <w:pPr>
        <w:pStyle w:val="Heading2"/>
        <w:spacing w:after="100"/>
      </w:pPr>
      <w:r>
        <w:t xml:space="preserve">Revenue Analytics Dashboard</w:t>
      </w:r>
    </w:p>
    <w:p>
      <w:pPr>
        <w:spacing w:after="150"/>
      </w:pPr>
      <w:r>
        <w:t xml:space="preserve">Total Raised Metrics: Displays key revenue metrics aggregated across time periods. Data source: Financial Aggregation Database. Displays include: Total Raised Today (Decimal, updates in real-time), Monthly Total (Decimal), Monthly Goal (Decimal), Monthly Progress Percentage (Decimal), Quarterly Total (Decimal), Quarterly Goal (Decimal), Year-to-Date Total (Decimal), YTD Goal (Decimal), Projected Year End Total (Decimal). Theme support: Black background with white/accent text; Light background with dark text.</w:t>
      </w:r>
    </w:p>
    <w:p>
      <w:pPr>
        <w:spacing w:after="150"/>
      </w:pPr>
      <w:r>
        <w:t xml:space="preserve">Average Gift Size: Statistical analysis of donation amounts and trends. Data source: Transaction Analysis Database. Fields include: Average Gift Size Overall (Decimal), Average One-Time Gift (Decimal), Average Recurring Monthly Gift (Decimal), Median Gift Size (Decimal), Mode Gift Size (Decimal), Largest Gift Today (Decimal), Smallest Gift Today (Decimal), Gift Size Trend (Percent Change). Theme support: Displays distributions with box plots and trend lines.</w:t>
      </w:r>
    </w:p>
    <w:p>
      <w:pPr>
        <w:spacing w:after="150"/>
      </w:pPr>
      <w:r>
        <w:t xml:space="preserve">Recurring Revenue Analysis: Breakdown of predictable recurring donation revenue. Data source: Recurring Billing Database. Fields include: Monthly Recurring Revenue (Decimal), Number of Active Recurring Donors (Integer), Average Monthly Recurring Amount (Decimal), Recurring Donation Churn Rate (Percentage), Recurring to One-Time Revenue Ratio (Percentage), New Recurring Donors This Month (Integer), Canceled Recurring Donations This Month (Integer). Theme support: Shows trends with growth trajectory predictions.</w:t>
      </w:r>
    </w:p>
    <w:p>
      <w:pPr>
        <w:spacing w:after="150"/>
      </w:pPr>
      <w:r>
        <w:t xml:space="preserve">Revenue by Source: Attribution of revenue across donation channels. Data source: Campaign Attribution Database. Fields include: Revenue from Online Forms (Decimal), Revenue from Email Campaigns (Decimal), Revenue from Events (Decimal), Revenue from Phone Banking (Decimal), Revenue from Mail (Decimal), Revenue from Text-to-Give (Decimal), Revenue from Merchandise (Decimal), Revenue from Peer-to-Peer Fundraising (Decimal). Theme support: Displays as pie charts and stacked bar charts.</w:t>
      </w:r>
    </w:p>
    <w:p>
      <w:pPr>
        <w:spacing w:after="200"/>
      </w:pPr>
      <w:r>
        <w:t xml:space="preserve">Conversion Rate Analysis: Measurement of how effectively pages convert visitors to donors. Data source: Analytics Database. Fields include: Overall Site Conversion Rate (Percentage), Conversion Rate by Traffic Source (Percentage Array), Conversion Rate by Device Type (Percentage), Conversion Rate by Geographic Location (Percentage Array), Mobile Conversion Rate (Percentage), Desktop Conversion Rate (Percentage), Tablet Conversion Rate (Percentage). Theme support: Shows top-performing pages and traffic sources.</w:t>
      </w:r>
    </w:p>
    <w:p>
      <w:pPr>
        <w:pStyle w:val="Heading2"/>
        <w:spacing w:after="100"/>
      </w:pPr>
      <w:r>
        <w:t xml:space="preserve">Payment Health Dashboard</w:t>
      </w:r>
    </w:p>
    <w:p>
      <w:pPr>
        <w:spacing w:after="150"/>
      </w:pPr>
      <w:r>
        <w:t xml:space="preserve">Processing Success Rate: Measurement of successful payment processing. Data source: Payment Processing Database. Fields include: Overall Payment Success Rate (Percentage), Credit Card Success Rate (Percentage), Debit Card Success Rate (Percentage), ACH Success Rate (Percentage), Digital Wallet Success Rate (Percentage), Success Rate by Card Issuer (Percentage Array). Theme support: Green indicators for healthy rates, red for concerning rates.</w:t>
      </w:r>
    </w:p>
    <w:p>
      <w:pPr>
        <w:spacing w:after="150"/>
      </w:pPr>
      <w:r>
        <w:t xml:space="preserve">Decline Rate Tracking: Analysis of payment declines and failure patterns. Data source: Payment Failure Database. Fields include: Overall Decline Rate (Percentage), Decline Rate by Payment Method (Percentage), Decline Rate by Card Issuer (Percentage Array), Top Decline Reasons (String Array), Decline Trend (Percent Change), High-Risk Decline Indicators (Boolean). Theme support: Uses warning colors to highlight concerning trends.</w:t>
      </w:r>
    </w:p>
    <w:p>
      <w:pPr>
        <w:spacing w:after="150"/>
      </w:pPr>
      <w:r>
        <w:t xml:space="preserve">Chargeback Monitoring: Tracking of chargebacks and dispute patterns. Data source: Chargeback Database. Fields include: Chargebacks This Month (Integer), Total Chargeback Amount (Decimal), Chargeback Rate (Percentage), Chargeback by Reason Code (Count Array), Disputed Amount in Review (Decimal), Chargeback Trend (Percent Change). Theme support: Highlights chargeback cases needing action.</w:t>
      </w:r>
    </w:p>
    <w:p>
      <w:pPr>
        <w:spacing w:after="150"/>
      </w:pPr>
      <w:r>
        <w:t xml:space="preserve">Failed Payment Recovery: Metrics for payment recovery success. Data source: Recovery Analytics Database. Fields include: Failed Payments This Period (Integer), Recovered Payments (Integer), Recovery Success Rate (Percentage), Total Recovered Amount (Decimal), Recurring Payment Recovery Rate (Percentage), One-Time Payment Recovery Rate (Percentage), Automated Recovery Success Rate (Percentage). Theme support: Shows recovery process funnel.</w:t>
      </w:r>
    </w:p>
    <w:p>
      <w:pPr>
        <w:spacing w:after="200"/>
      </w:pPr>
      <w:r>
        <w:t xml:space="preserve">Payment Method Split: Distribution of revenue across payment methods. Data source: Transaction Database. Fields include: Credit Card Revenue Percentage (Percentage), ACH Revenue Percentage (Percentage), Digital Wallet Revenue Percentage (Percentage), Other Methods Revenue Percentage (Percentage), Average Processing Fee by Method (Decimal Array). Theme support: Displays as stacked bar charts with fee comparisons.</w:t>
      </w:r>
    </w:p>
    <w:p>
      <w:pPr>
        <w:pStyle w:val="Heading2"/>
        <w:spacing w:after="100"/>
      </w:pPr>
      <w:r>
        <w:t xml:space="preserve">Donor Metrics Dashboard</w:t>
      </w:r>
    </w:p>
    <w:p>
      <w:pPr>
        <w:spacing w:after="150"/>
      </w:pPr>
      <w:r>
        <w:t xml:space="preserve">New vs Returning Donors: Breakdown of donor acquisition versus retention. Data source: Donor Database. Fields include: New Donors This Month (Integer), Returning Donors This Month (Integer), New Donor Percentage (Percentage), First-Time Donation Average (Decimal), Repeat Donation Average (Decimal), New Donor Retention Rate to Month 2 (Percentage), Donor Acquisition Cost (Decimal). Theme support: Shows donor cohort analysis.</w:t>
      </w:r>
    </w:p>
    <w:p>
      <w:pPr>
        <w:spacing w:after="150"/>
      </w:pPr>
      <w:r>
        <w:t xml:space="preserve">Donor Retention Rate: Measurement of repeat giving patterns. Data source: Cohort Analysis Database. Fields include: Overall Retention Rate (Percentage), Month-Over-Month Retention (Percentage), Annual Retention Rate (Percentage), Retention Rate by Gift Level (Percentage Array), At-Risk Donors (Integer), High-Value Retention Rate (Percentage). Theme support: Uses cohort visualization.</w:t>
      </w:r>
    </w:p>
    <w:p>
      <w:pPr>
        <w:spacing w:after="150"/>
      </w:pPr>
      <w:r>
        <w:t xml:space="preserve">Upgrade Rate Tracking: Conversion of one-time donors to recurring giving. Data source: Donor Lifecycle Database. Fields include: One-Time to Recurring Conversion Rate (Percentage), Average Time to Upgrade (Integer), Donors Offered Recurring (Integer), Recurring Conversion Accept Rate (Percentage), Donors Upgraded This Month (Integer), Upgrade Incentive Effectiveness (Percentage). Theme support: Shows upgrade funnel with messaging variations.</w:t>
      </w:r>
    </w:p>
    <w:p>
      <w:pPr>
        <w:spacing w:after="150"/>
      </w:pPr>
      <w:r>
        <w:t xml:space="preserve">Lapsed Donor Recovery: Reactivation of previously inactive donors. Data source: Reactivation Database. Fields include: Lapsed Donors Identified (Integer), Reactivation Campaign Launched (Integer), Reactivation Success Rate (Percentage), Reactivated Donor Average Gift (Decimal), Time Since Last Gift for Lapsed (Days), Lapsed Donor Age Segments (Integer Array). Theme support: Shows reactivation campaign status.</w:t>
      </w:r>
    </w:p>
    <w:p>
      <w:pPr>
        <w:spacing w:after="200"/>
      </w:pPr>
      <w:r>
        <w:t xml:space="preserve">Lifetime Value: Projection of total lifetime donor contribution. Data source: Donor Analytics Database. Fields include: Average Donor Lifetime Value (Decimal), Median Donor Lifetime Value (Decimal), Lifetime Value by Acquisition Channel (Decimal Array), Lifetime Value Growth Rate (Percentage), Top 10% Donor Lifetime Value (Decimal), Bottom 50% Donor Lifetime Value (Decimal). Theme support: Shows lifetime value segmentation.</w:t>
      </w:r>
    </w:p>
    <w:p>
      <w:pPr>
        <w:pStyle w:val="Heading2"/>
        <w:spacing w:after="100"/>
      </w:pPr>
      <w:r>
        <w:t xml:space="preserve">Compliance Dashboard</w:t>
      </w:r>
    </w:p>
    <w:p>
      <w:pPr>
        <w:spacing w:after="150"/>
      </w:pPr>
      <w:r>
        <w:t xml:space="preserve">FEC Filing Status: Tracking of FEC compliance filing. Data source: Filing Database. Fields include: Current Filing Period (String), Filing Deadline (DateTime), Days Until Filing (Integer), Transactions Awaiting Filing (Integer), Filed Transactions Count (Integer), Filing Status (Completed/In Progress/Pending), Submitted to FEC (Boolean), FEC Acknowledgment Received (Boolean). Theme support: Highlights deadline warnings.</w:t>
      </w:r>
    </w:p>
    <w:p>
      <w:pPr>
        <w:spacing w:after="150"/>
      </w:pPr>
      <w:r>
        <w:t xml:space="preserve">Contribution Limit Alerts: Warnings for donors approaching or exceeding limits. Data source: Compliance Database. Fields include: Donors At 90% of Annual Limit (Integer), Donors At 100% of Annual Limit (Integer), Blocked Donations Due to Limits (Integer), Donors Flagged for Review (Integer), Limit Violation Incidents This Month (Integer). Theme support: Uses red/yellow alert colors.</w:t>
      </w:r>
    </w:p>
    <w:p>
      <w:pPr>
        <w:spacing w:after="150"/>
      </w:pPr>
      <w:r>
        <w:t xml:space="preserve">Disclaimer Compliance: Tracking of required disclaimer display. Data source: Form Analytics Database. Fields include: Forms With Active Disclaimers (Integer), Disclaimer Display Rate (Percentage), Forms Missing Disclaimers (Integer), Disclaimer Version Current (Boolean), Last Disclaimer Update Date (DateTime), Compliance Risk (Boolean). Theme support: Shows compliance status clearly.</w:t>
      </w:r>
    </w:p>
    <w:p>
      <w:pPr>
        <w:spacing w:after="200"/>
      </w:pPr>
      <w:r>
        <w:t xml:space="preserve">Audit Trail: Complete logging of system activities for compliance and security. Data source: Audit Log Database. Fields include: Total Audit Log Entries (Integer), Entries This Month (Integer), Failed Access Attempts (Integer), Refunds Processed (Integer), Donor Information Modifications (Integer), Sensitive Action Log (Array). Theme support: Filterable log view with search.</w:t>
      </w:r>
    </w:p>
    <w:p>
      <w:pPr>
        <w:pageBreakBefore/>
      </w:pPr>
    </w:p>
    <w:p>
      <w:pPr>
        <w:pStyle w:val="Heading1"/>
        <w:spacing w:after="200"/>
      </w:pPr>
      <w:r>
        <w:t xml:space="preserve">SECTION 5: E20 BRAIN INTEGRATION</w:t>
      </w:r>
    </w:p>
    <w:p>
      <w:pPr>
        <w:spacing w:after="200"/>
      </w:pPr>
      <w:r>
        <w:t xml:space="preserve">The E20 Brain represents the AI-powered intelligence layer that drives predictive fundraising optimization in the BroyhillGOP ecosystem. The E02 Donation Processing system feeds rich donation and donor data into the E20 Brain, enabling sophisticated predictive models, personalization, and automation. This integration transforms raw fundraising activity into actionable intelligence that improves conversion rates, maximizes donor lifetime value, and optimizes campaign revenue.</w:t>
      </w:r>
    </w:p>
    <w:p>
      <w:pPr>
        <w:pStyle w:val="Heading2"/>
        <w:spacing w:after="100"/>
      </w:pPr>
      <w:r>
        <w:t xml:space="preserve">Donation Pattern Analysis</w:t>
      </w:r>
    </w:p>
    <w:p>
      <w:pPr>
        <w:spacing w:after="150"/>
      </w:pPr>
      <w:r>
        <w:t xml:space="preserve">The E20 Brain analyzes complete donation patterns across all donors and transactions. Historical donation data is fed into machine learning models that identify patterns in giving behavior. Models analyze donation timing (specific days/times when donors give), seasonal patterns (increased giving during certain months), response patterns (which messages/offers drive donations), and lifecycle patterns (when donors upgrade to recurring or increase gift amounts). Pattern analysis identifies high-probability moments for donor engagement, enabling targeted outreach at times when donors are most likely to respond.</w:t>
      </w:r>
    </w:p>
    <w:p>
      <w:pPr>
        <w:pStyle w:val="Heading2"/>
        <w:spacing w:after="100"/>
      </w:pPr>
      <w:r>
        <w:t xml:space="preserve">Optimal Ask Amount Modeling</w:t>
      </w:r>
    </w:p>
    <w:p>
      <w:pPr>
        <w:spacing w:after="150"/>
      </w:pPr>
      <w:r>
        <w:t xml:space="preserve">The E20 Brain generates personalized ask amounts for each donor based on predictive scoring. Donor scoring models analyze historical giving patterns, demographic indicators, engagement history, and capacity indicators to predict the maximum amount each donor is likely to give. Ask amount recommendations are continuously updated as new donation data arrives. The system suggests asking loyal major donors for higher amounts, new donors for entry-level amounts, and mid-level donors for amounts positioned to upgrade them to major donor status. A/B testing validates ask amount optimization, ensuring recommendations drive higher average gift sizes without reducing conversion rates.</w:t>
      </w:r>
    </w:p>
    <w:p>
      <w:pPr>
        <w:pStyle w:val="Heading2"/>
        <w:spacing w:after="100"/>
      </w:pPr>
      <w:r>
        <w:t xml:space="preserve">Recurring Donor Churn Prediction</w:t>
      </w:r>
    </w:p>
    <w:p>
      <w:pPr>
        <w:spacing w:after="150"/>
      </w:pPr>
      <w:r>
        <w:t xml:space="preserve">The E20 Brain predicts which recurring donors are at risk of churning (canceling subscriptions). Churn prediction models analyze subscription tenure, giving consistency, engagement patterns, and external signals to identify at-risk donors. Donors exhibiting changed behavior patterns, declining engagement, or other churn indicators are flagged for proactive intervention. Campaign staff are alerted when high-value recurring donors show churn signals, enabling personalized outreach to save subscriptions. Churn prevention campaigns use customized messaging addressing specific churn risk factors (e.g., "We miss you" messaging for long-inactive donors vs "thank you" messaging for consistently giving donors).</w:t>
      </w:r>
    </w:p>
    <w:p>
      <w:pPr>
        <w:pStyle w:val="Heading2"/>
        <w:spacing w:after="100"/>
      </w:pPr>
      <w:r>
        <w:t xml:space="preserve">Payment Failure Recovery Automation</w:t>
      </w:r>
    </w:p>
    <w:p>
      <w:pPr>
        <w:spacing w:after="150"/>
      </w:pPr>
      <w:r>
        <w:t xml:space="preserve">The E20 Brain automates payment failure recovery using intelligent retry logic. When payments fail, the system predicts the probability that retry attempts will succeed. Failed recurring donations are immediately retried with exponential backoff timing. For donors with multiple failed attempts, the E20 Brain generates personalized recovery messages addressing the likely failure reason (expired card, insufficient funds, fraud detection, etc.). Recovery campaigns use automated email and SMS to notify donors of failed payments and request payment method updates. High-value failed donations trigger manual follow-up workflows where campaign staff personally contact donors to recover revenue.</w:t>
      </w:r>
    </w:p>
    <w:p>
      <w:pPr>
        <w:pStyle w:val="Heading2"/>
        <w:spacing w:after="100"/>
      </w:pPr>
      <w:r>
        <w:t xml:space="preserve">Real-Time Revenue Forecasting</w:t>
      </w:r>
    </w:p>
    <w:p>
      <w:pPr>
        <w:spacing w:after="200"/>
      </w:pPr>
      <w:r>
        <w:t xml:space="preserve">The E20 Brain generates real-time revenue forecasts for specified time periods. Forecasting models incorporate historical donation patterns, scheduled recurring donations, known upcoming fundraising events, seasonal factors, and external campaign events. Forecasts predict daily, weekly, monthly, and quarterly revenue with confidence intervals. Campaign staff can view projected totals and compare against targets. If forecasted revenue falls short of targets, the E20 Brain recommends specific campaign interventions (launch fundraising appeal, activate major donor outreach, increase peer-to-peer fundraising push, etc.). Revenue forecasting enables proactive campaign management rather than reactive response to shortfalls.</w:t>
      </w:r>
    </w:p>
    <w:p>
      <w:pPr>
        <w:pageBreakBefore/>
      </w:pPr>
    </w:p>
    <w:p>
      <w:pPr>
        <w:pStyle w:val="Heading1"/>
        <w:spacing w:after="200"/>
      </w:pPr>
      <w:r>
        <w:t xml:space="preserve">SECTION 6: INSPINIA PAGE MAPPING</w:t>
      </w:r>
    </w:p>
    <w:p>
      <w:pPr>
        <w:spacing w:after="200"/>
      </w:pPr>
      <w:r>
        <w:t xml:space="preserve">Inspinia is a premium admin dashboard template providing the visual foundation for the E02 Donation Processing administrative interface. This section maps core E02 functionality to Inspinia page templates, enabling rapid implementation of a professional, feature-rich dashboard.</w:t>
      </w:r>
    </w:p>
    <w:p>
      <w:pPr>
        <w:pStyle w:val="Heading2"/>
        <w:spacing w:after="100"/>
      </w:pPr>
      <w:r>
        <w:t xml:space="preserve">E-Commerce Dashboard</w:t>
      </w:r>
    </w:p>
    <w:p>
      <w:pPr>
        <w:spacing w:after="150"/>
      </w:pPr>
      <w:r>
        <w:t xml:space="preserve">The Inspinia E-Commerce Dashboard template provides the foundation for the main E02 fundraising dashboard. This template features key metric cards displaying Today's Revenue, Monthly Revenue, Number of Donors, and Conversion Rate. A prominent real-time donation ticker shows recent donations scrolling as they process. Line charts display revenue trends over time periods (week, month, quarter, year). The template includes a donor map showing geographic distribution of donors. Recent order tables display recent donations with sortable columns and search filters. The dashboard layout is responsive and automatically adapts to desktop, tablet, and mobile screens.</w:t>
      </w:r>
    </w:p>
    <w:p>
      <w:pPr>
        <w:pStyle w:val="Heading2"/>
        <w:spacing w:after="100"/>
      </w:pPr>
      <w:r>
        <w:t xml:space="preserve">Transaction List Page</w:t>
      </w:r>
    </w:p>
    <w:p>
      <w:pPr>
        <w:spacing w:after="150"/>
      </w:pPr>
      <w:r>
        <w:t xml:space="preserve">The Inspinia Transaction List template provides the foundation for viewing all donations with advanced filtering and sorting. The page features a searchable, sortable table of all transactions with columns for Donor Name, Amount, Date, Payment Method, and Status. Filter controls enable filtering by date range, payment method, donation status, and donor type. Bulk action buttons enable selecting multiple transactions for batch operations (export, refund, resend receipt, etc.). Transaction detail modals open when clicking individual transactions, showing complete donation information and available actions. Export functionality enables downloading transaction lists in CSV or Excel format.</w:t>
      </w:r>
    </w:p>
    <w:p>
      <w:pPr>
        <w:pStyle w:val="Heading2"/>
        <w:spacing w:after="100"/>
      </w:pPr>
      <w:r>
        <w:t xml:space="preserve">Payment Forms Page</w:t>
      </w:r>
    </w:p>
    <w:p>
      <w:pPr>
        <w:spacing w:after="150"/>
      </w:pPr>
      <w:r>
        <w:t xml:space="preserve">The Inspinia Forms template provides the foundation for managing donation forms. This template features a card-based layout displaying all available donation form types (One-Time, Recurring Monthly, Pledge, Major Gift, Event Ticket, Merchandise, Text-to-Give, Phone Entry, Mail Entry). Each form card shows preview thumbnail, configuration status, conversion rate, and number of uses. Action buttons enable creating new forms, editing existing forms, viewing analytics, and testing forms. The layout supports quick visual scanning and rapid form access.</w:t>
      </w:r>
    </w:p>
    <w:p>
      <w:pPr>
        <w:pStyle w:val="Heading2"/>
        <w:spacing w:after="100"/>
      </w:pPr>
      <w:r>
        <w:t xml:space="preserve">Analytics Charts Page</w:t>
      </w:r>
    </w:p>
    <w:p>
      <w:pPr>
        <w:spacing w:after="200"/>
      </w:pPr>
      <w:r>
        <w:t xml:space="preserve">The Inspinia Analytics page template provides comprehensive data visualization for fundraising metrics. This page features line charts showing revenue trends over time, pie charts showing revenue breakdown by source, bar charts showing performance by donation page, and heat maps showing conversion rates by traffic source. The page includes date range pickers enabling custom analysis periods, metric comparison tools, and export functionality. Interactive charts allow drilling down into data, toggling data series on/off, and hovering for detailed values. The layout accommodates multiple visualizations while maintaining clean, professional appearance.</w:t>
      </w:r>
    </w:p>
    <w:p>
      <w:pPr>
        <w:pageBreakBefore/>
      </w:pPr>
    </w:p>
    <w:p>
      <w:pPr>
        <w:pStyle w:val="Heading1"/>
        <w:spacing w:after="200"/>
      </w:pPr>
      <w:r>
        <w:t xml:space="preserve">SECTION 7: SEARCH/SORT/SAVE/ACTIVATE FRAMEWORK</w:t>
      </w:r>
    </w:p>
    <w:p>
      <w:pPr>
        <w:spacing w:after="200"/>
      </w:pPr>
      <w:r>
        <w:t xml:space="preserve">The Search/Sort/Save/Activate framework provides the core interaction patterns for the E02 Donation Processing system. These four capabilities form a cohesive user experience enabling staff to find relevant information, organize it meaningfully, save views for repeated access, and trigger actions directly from dashboards.</w:t>
      </w:r>
    </w:p>
    <w:p>
      <w:pPr>
        <w:pStyle w:val="Heading2"/>
        <w:spacing w:after="100"/>
      </w:pPr>
      <w:r>
        <w:t xml:space="preserve">Search Capabilities</w:t>
      </w:r>
    </w:p>
    <w:p>
      <w:pPr>
        <w:spacing w:after="200"/>
      </w:pPr>
      <w:r>
        <w:t xml:space="preserve">The E02 system provides comprehensive search across all donation and donor data. Users can search donations by donor name, enabling quick location of specific donor records. Amount-based search filters donations within specified price ranges, useful for identifying high-value donors or finding donations meeting specific criteria. Date-based search enables finding donations within specified time periods. Source-based search filters donations by channel (online, phone, mail, in-person, etc.), enabling channel-specific analysis. Combined search enables multiple criteria simultaneously (e.g., find all donations from January by John Smith over $1,000). Full-text search enables finding donors by name, email, phone, or organization. Auto-complete suggests matching donors as users type, enabling rapid search completion. Search results display in real-time with result count and search time.</w:t>
      </w:r>
    </w:p>
    <w:p>
      <w:pPr>
        <w:pStyle w:val="Heading2"/>
        <w:spacing w:after="100"/>
      </w:pPr>
      <w:r>
        <w:t xml:space="preserve">Sort Capabilities</w:t>
      </w:r>
    </w:p>
    <w:p>
      <w:pPr>
        <w:spacing w:after="200"/>
      </w:pPr>
      <w:r>
        <w:t xml:space="preserve">All E02 data tables and lists support flexible sorting. Donations can be sorted by date (newest first or oldest first), enabling timeline viewing of contributions. Amount-based sorting identifies largest or smallest donations, useful for analyzing gift size distribution. Status sorting (e.g., successful/failed/pending) groups donations by processing status. Donor sorting (alphabetical A-Z or Z-A) organizes donors by name. Multiple-column sorting enables simultaneous sorting by multiple criteria (e.g., sort by amount descending, then by date descending). Persistence ensures selected sort order remains until explicitly changed. Sort options are customizable, with users able to specify default sort preferences.</w:t>
      </w:r>
    </w:p>
    <w:p>
      <w:pPr>
        <w:pStyle w:val="Heading2"/>
        <w:spacing w:after="100"/>
      </w:pPr>
      <w:r>
        <w:t xml:space="preserve">Save Functionality</w:t>
      </w:r>
    </w:p>
    <w:p>
      <w:pPr>
        <w:spacing w:after="200"/>
      </w:pPr>
      <w:r>
        <w:t xml:space="preserve">Save functionality enables storing frequently-used views and configurations for repeated access. Donation page templates can be saved, enabling rapid creation of similar pages. Filtered views with specific search criteria, sort order, and column selections can be saved as named views. Users can save "Big Donors" view showing only donations over $1,000, "Yesterday's Donations" view showing previous day's transactions, or "Failed Payments" view showing only failed transactions. Saved views appear in a quick access menu, enabling one-click navigation to frequently-used views. Saved configurations include search filters, sort order, column visibility, and date ranges. Personal saved views are accessible only to the saving user; team saves are shared across authorized users. Saved views can be edited or deleted by authorizing users.</w:t>
      </w:r>
    </w:p>
    <w:p>
      <w:pPr>
        <w:pStyle w:val="Heading2"/>
        <w:spacing w:after="100"/>
      </w:pPr>
      <w:r>
        <w:t xml:space="preserve">Activate Actions</w:t>
      </w:r>
    </w:p>
    <w:p>
      <w:pPr>
        <w:spacing w:after="200"/>
      </w:pPr>
      <w:r>
        <w:t xml:space="preserve">Activate buttons trigger immediate actions directly from dashboards, eliminating navigation between screens. "Create Page" button launches the donation page builder, enabling rapid creation of new fundraising pages. "Process Refund" button initiates refund workflow for selected transaction. "Send Receipt" button immediately emails receipt for selected donation. "Launch Campaign" button initiates pre-configured campaign workflows (e.g., thank you email sequence, donor cultivation campaign, etc.). Bulk activate enables selecting multiple items and performing actions on all simultaneously (e.g., export 100 donations, send receipts for 50 transactions). Confirm dialogs prevent accidental actions, requiring user confirmation before executing irreversible actions. Action completion notifications confirm successful execution and provide next steps.</w:t>
      </w:r>
    </w:p>
    <w:p>
      <w:pPr>
        <w:pageBreakBefore/>
      </w:pPr>
    </w:p>
    <w:p>
      <w:pPr>
        <w:pStyle w:val="Heading1"/>
        <w:spacing w:after="200"/>
      </w:pPr>
      <w:r>
        <w:t xml:space="preserve">SECTION 8: CAMPAIGN CHIEF INTEGRATION</w:t>
      </w:r>
    </w:p>
    <w:p>
      <w:pPr>
        <w:spacing w:after="200"/>
      </w:pPr>
      <w:r>
        <w:t xml:space="preserve">Campaign Chief represents the conversational AI agent embedded within the BroyhillGOP ecosystem. Campaign Chief proactively monitors fundraising activity, identifies opportunities and risks, and surfaces actionable intelligence through dialog prompts. The E02 Donation Processing system feeds real-time data into Campaign Chief, enabling intelligent fundraising recommendations that drive revenue and optimize donor relationships.</w:t>
      </w:r>
    </w:p>
    <w:p>
      <w:pPr>
        <w:pStyle w:val="Heading2"/>
        <w:spacing w:after="100"/>
      </w:pPr>
      <w:r>
        <w:t xml:space="preserve">Dialog 1: Daily Goal Progress Update</w:t>
      </w:r>
    </w:p>
    <w:p>
      <w:pPr>
        <w:spacing w:after="100"/>
      </w:pPr>
      <w:r>
        <w:t xml:space="preserve">Scenario: Campaign Chief detects strong fundraising momentum and identifies untapped donor segment.</w:t>
      </w:r>
    </w:p>
    <w:p>
      <w:pPr>
        <w:spacing w:after="150"/>
      </w:pPr>
      <w:r>
        <w:t xml:space="preserve">"You've raised $12,400 today — 82% of your daily goal. 3 PRIME donors haven't given yet this quarter. Want me to send them a personal ask with a custom donation page?"</w:t>
      </w:r>
    </w:p>
    <w:p>
      <w:pPr>
        <w:spacing w:after="150"/>
      </w:pPr>
      <w:r>
        <w:t xml:space="preserve">Context: The E02 system has processed $12,400 in donations today, tracking progress toward the $15,000 daily goal (82% achievement). The E20 Brain has identified three PRIME-tier donors (major donors identified as high-capacity prospects) who have not yet contributed this quarter. Campaign Chief recommends personalized outreach to these donors, offering a customized donation page showing their progress toward major gift milestone.</w:t>
      </w:r>
    </w:p>
    <w:p>
      <w:pPr>
        <w:spacing w:after="150"/>
      </w:pPr>
      <w:r>
        <w:t xml:space="preserve">Action Options: (1) "Yes, personalize and send" - Campaign Chief generates customized donation page for each PRIME donor, crafts personalized ask email addressing each donor's giving history and capacity, sends asks immediately. (2) "Show me the donors" - Campaign Chief displays details on the three PRIME donors, enabling manual review before outreach. (3) "No, not now" - Campaign Chief acknowledges and continues monitoring.</w:t>
      </w:r>
    </w:p>
    <w:p>
      <w:pPr>
        <w:spacing w:after="200"/>
      </w:pPr>
      <w:r>
        <w:t xml:space="preserve">Outcome: Personalized outreach to high-capacity donors results in 40-60% conversion rate for PRIME donor asks, typically generating $5,000-$15,000 per donor. The system logs outreach activity, tracks whether asks generate donations, and learns from results to improve future recommendations.</w:t>
      </w:r>
    </w:p>
    <w:p>
      <w:pPr>
        <w:pStyle w:val="Heading2"/>
        <w:spacing w:after="100"/>
      </w:pPr>
      <w:r>
        <w:t xml:space="preserve">Dialog 2: Recurring Donor Retention Alert</w:t>
      </w:r>
    </w:p>
    <w:p>
      <w:pPr>
        <w:spacing w:after="100"/>
      </w:pPr>
      <w:r>
        <w:t xml:space="preserve">Scenario: Campaign Chief detects declining recurring donor retention and recommends proactive retention campaign.</w:t>
      </w:r>
    </w:p>
    <w:p>
      <w:pPr>
        <w:spacing w:after="150"/>
      </w:pPr>
      <w:r>
        <w:t xml:space="preserve">"Your recurring donor retention dropped 8% this month. I've identified 23 at-risk recurring donors — want me to launch a retention campaign with a thank-you video?"</w:t>
      </w:r>
    </w:p>
    <w:p>
      <w:pPr>
        <w:spacing w:after="150"/>
      </w:pPr>
      <w:r>
        <w:t xml:space="preserve">Context: The E02 system tracks recurring donor churn monthly. This month, churn increased 8% compared to last month, indicating potential problem. The E20 Brain analyzed recurring donor behavior patterns and identified 23 donors showing early churn signals (reduced engagement, skipped months, profile changes indicating reduced commitment). Campaign Chief proposes launching a retention campaign featuring a thank-you video acknowledging their loyalty and reaffirming campaign values.</w:t>
      </w:r>
    </w:p>
    <w:p>
      <w:pPr>
        <w:spacing w:after="150"/>
      </w:pPr>
      <w:r>
        <w:t xml:space="preserve">Action Options: (1) "Launch campaign now" - Campaign Chief immediately sends thank-you email with embedded video to all 23 at-risk donors, tracks open rates and click-through, measures retention impact. (2) "Customize the message" - Campaign Chief shows draft message, enabling campaign staff to customize wording before sending. (3) "Show me the donors" - Campaign Chief displays list of at-risk donors with churn risk scores. (4) "Not interested" - Campaign Chief logs decision and continues monitoring.</w:t>
      </w:r>
    </w:p>
    <w:p>
      <w:pPr>
        <w:spacing w:after="200"/>
      </w:pPr>
      <w:r>
        <w:t xml:space="preserve">Outcome: Thank-you campaigns typically re-engage 30-40% of at-risk donors, preventing churn. For recurring donors, preventing cancellation of $50/month donations saves $600-$800 per donor annually. Successful retention of 10 donors saves $6,000-$8,000 in lost annual revenue.</w:t>
      </w:r>
    </w:p>
    <w:p>
      <w:pPr>
        <w:pStyle w:val="Heading2"/>
        <w:spacing w:after="100"/>
      </w:pPr>
      <w:r>
        <w:t xml:space="preserve">Dialog 3: New Major Donor FEC Compliance Alert</w:t>
      </w:r>
    </w:p>
    <w:p>
      <w:pPr>
        <w:spacing w:after="100"/>
      </w:pPr>
      <w:r>
        <w:t xml:space="preserve">Scenario: Campaign Chief detects new major donation and confirms FEC compliance data captured.</w:t>
      </w:r>
    </w:p>
    <w:p>
      <w:pPr>
        <w:spacing w:after="150"/>
      </w:pPr>
      <w:r>
        <w:t xml:space="preserve">"A $5,000 donation just came in from a new donor. FEC requires occupation/employer — the form captured it. Want me to add them to your PRIME prospects and start cultivation?"</w:t>
      </w:r>
    </w:p>
    <w:p>
      <w:pPr>
        <w:spacing w:after="150"/>
      </w:pPr>
      <w:r>
        <w:t xml:space="preserve">Context: The E02 system processed a $5,000 donation from an individual donor not previously in the system. The donation exceeded major gift threshold ($5,000+). The system's compliance module verified that required FEC information (occupation and employer) was captured in the donation form. Campaign Chief recommends adding this donor to the PRIME prospect pool and initiating cultivation workflows.</w:t>
      </w:r>
    </w:p>
    <w:p>
      <w:pPr>
        <w:spacing w:after="150"/>
      </w:pPr>
      <w:r>
        <w:t xml:space="preserve">Action Options: (1) "Add to PRIME and start cultivation" - Campaign Chief adds donor to major donor pipeline, initiates personalized welcome sequence, schedules follow-up touchpoints, sets reminder for major gift officer to contact donor within 48 hours. (2) "Add to PRIME only" - Campaign Chief adds to prospect list without automated cultivation. (3) "Review donor info first" - Campaign Chief displays full donor profile, enabling review before addition to cultivation pipeline. (4) "Skip for now" - Campaign Chief monitors for future activity.</w:t>
      </w:r>
    </w:p>
    <w:p>
      <w:pPr>
        <w:spacing w:after="200"/>
      </w:pPr>
      <w:r>
        <w:t xml:space="preserve">Outcome: Major donor cultivation typically results in 15-25% increase in repeat giving within 90 days. New donors receiving personalized cultivation show 3-4x higher lifetime value compared to donors receiving no follow-up. Immediate major gift officer contact dramatically increases probability of additional large donations.</w:t>
      </w:r>
    </w:p>
    <w:p>
      <w:pPr>
        <w:pStyle w:val="Heading2"/>
        <w:spacing w:after="100"/>
      </w:pPr>
      <w:r>
        <w:t xml:space="preserve">Dialog 4: Mobile Conversion Optimization Recommendation</w:t>
      </w:r>
    </w:p>
    <w:p>
      <w:pPr>
        <w:spacing w:after="100"/>
      </w:pPr>
      <w:r>
        <w:t xml:space="preserve">Scenario: Campaign Chief detects mobile-desktop conversion rate gap and recommends optimization test.</w:t>
      </w:r>
    </w:p>
    <w:p>
      <w:pPr>
        <w:spacing w:after="150"/>
      </w:pPr>
      <w:r>
        <w:t xml:space="preserve">"Your mobile donation page converts at 2.1% vs 4.7% on desktop. I've redesigned the mobile layout — want to A/B test it?"</w:t>
      </w:r>
    </w:p>
    <w:p>
      <w:pPr>
        <w:spacing w:after="150"/>
      </w:pPr>
      <w:r>
        <w:t xml:space="preserve">Context: The E02 analytics system tracks conversion metrics by device type. Analysis reveals significant gap between mobile (2.1% conversion) and desktop (4.7% conversion) performance. This gap represents lost revenue opportunity, as mobile traffic continues to grow. The E20 Brain analyzed mobile donation page issues and designed optimization including: simplified form fields reducing friction, larger buttons optimized for touch, mobile-optimized image layouts, and streamlined payment flow. Campaign Chief recommends A/B testing the optimized mobile layout.</w:t>
      </w:r>
    </w:p>
    <w:p>
      <w:pPr>
        <w:spacing w:after="150"/>
      </w:pPr>
      <w:r>
        <w:t xml:space="preserve">Action Options: (1) "Start A/B test now" - Campaign Chief activates A/B test, splitting mobile traffic 50/50 between original and optimized layouts, tracks conversion metrics daily, notifies when test reaches statistical significance. (2) "Show me the design" - Campaign Chief displays side-by-side comparison of original vs optimized mobile layouts. (3) "Deploy to all mobile" - Campaign Chief immediately updates all mobile traffic to optimized layout without testing. (4) "Skip optimization" - Campaign Chief continues monitoring but doesn't pursue testing.</w:t>
      </w:r>
    </w:p>
    <w:p>
      <w:pPr>
        <w:spacing w:after="200"/>
      </w:pPr>
      <w:r>
        <w:t xml:space="preserve">Outcome: Mobile conversion optimization typically improves mobile conversion rates 30-50%. Moving from 2.1% to 3.1% conversion rate on mobile traffic increases revenue 30-50%. For campaigns receiving 40% mobile traffic, this optimization increases overall site conversion rate 12-20%. Ongoing mobile optimization identifies new friction points and continuously improves mobile donation experience as devices and user behaviors evolve.</w:t>
      </w:r>
    </w:p>
    <w:p>
      <w:pPr>
        <w:pageBreakBefore/>
      </w:pPr>
    </w:p>
    <w:p>
      <w:pPr>
        <w:pStyle w:val="Heading1"/>
        <w:spacing w:after="200"/>
      </w:pPr>
      <w:r>
        <w:t xml:space="preserve">CONCLUSION: E02 ECOSYSTEM SYNTHESIS</w:t>
      </w:r>
    </w:p>
    <w:p>
      <w:pPr>
        <w:spacing w:after="150"/>
      </w:pPr>
      <w:r>
        <w:t xml:space="preserve">The E02 Donation Processing ecosystem represents a comprehensive, enterprise-grade fundraising infrastructure combining proven models from WinRed and Stripe with campaign-specific features optimized for the BroyhillGOP platform. The ecosystem delivers three core capabilities: (1) Professional donation processing infrastructure handling all payment methods, recurring donations, and FEC compliance; (2) Real-time operational visibility through dashboards, metrics, and alerts enabling informed decision-making; (3) AI-powered optimization through E20 Brain integration, enabling continuous improvement of fundraising performance.</w:t>
      </w:r>
    </w:p>
    <w:p>
      <w:pPr>
        <w:spacing w:after="150"/>
      </w:pPr>
      <w:r>
        <w:t xml:space="preserve">The Command Center provides staff with complete control over donation pages, forms, and payment processing. The Admin Panel delivers strategic insights into revenue, donor behavior, and compliance status. The Campaign Chief interface surfaces actionable opportunities through intelligent prompts, enabling rapid execution of fundraising initiatives. Integration across these components creates a cohesive fundraising ecosystem where data flows seamlessly from donation processing through analytics to intelligence-driven action.</w:t>
      </w:r>
    </w:p>
    <w:p>
      <w:pPr>
        <w:spacing w:after="150"/>
      </w:pPr>
      <w:r>
        <w:t xml:space="preserve">By combining proven donation infrastructure with BroyhillGOP-specific customization, the E02 ecosystem enables the campaign to process donations at scale while maintaining the flexibility to respond to dynamic campaign needs. The system is designed to scale from small local campaigns to statewide coordinated efforts, supporting multiple committees, organizations, and fundraising channels through a unified infrastructure.</w:t>
      </w:r>
    </w:p>
    <w:p>
      <w:pPr>
        <w:spacing w:after="150"/>
      </w:pPr>
      <w:r>
        <w:t xml:space="preserve">The eight-section structure provides comprehensive documentation of the ecosystem: (1) APP CLONE AUDIT maps features from industry-leading platforms to the BroyhillGOP implementation; (2) USER JOURNEY describes the staff experience navigating fundraising operations; (3) COMMAND CENTER DIRECTORY specifies operational interfaces; (4) ADMIN PANEL DIRECTORY specifies analytics dashboards; (5) E20 BRAIN INTEGRATION describes AI-powered optimization; (6) INSPINIA PAGE MAPPING aligns UI components with professional dashboard templates; (7) SEARCH/SORT/SAVE/ACTIVATE describes core interaction patterns; (8) CAMPAIGN CHIEF INTEGRATION demonstrates intelligent automation through example dialogs.</w:t>
      </w:r>
    </w:p>
    <w:p>
      <w:pPr>
        <w:spacing w:after="400"/>
      </w:pPr>
      <w:r>
        <w:t xml:space="preserve">This report serves as the authoritative specification for E02 implementation, providing both business context and technical detail necessary for platform development, staff training, and ongoing optimization. The ecosystem is designed to evolve continuously, incorporating new features, payment methods, and intelligence models as they become available, while maintaining backward compatibility with existing campaigns and integrations.</w:t>
      </w:r>
    </w:p>
    <w:p>
      <w:pPr>
        <w:spacing w:after="100"/>
        <w:jc w:val="center"/>
      </w:pPr>
      <w: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2026-02-17T04:49:45.993Z</dcterms:created>
  <dcterms:modified xsi:type="dcterms:W3CDTF">2026-02-17T04:49:45.993Z</dcterms:modified>
</cp:coreProperties>
</file>

<file path=docProps/custom.xml><?xml version="1.0" encoding="utf-8"?>
<Properties xmlns="http://schemas.openxmlformats.org/officeDocument/2006/custom-properties" xmlns:vt="http://schemas.openxmlformats.org/officeDocument/2006/docPropsVTypes"/>
</file>