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E24 DONOR PORTAL ECOSYSTEM REPORT</w:t>
      </w:r>
    </w:p>
    <w:p>
      <w:pPr>
        <w:spacing w:after="100"/>
      </w:pPr>
      <w:r>
        <w:t xml:space="preserve">BroyhillGOP Political Campaign Platform</w:t>
      </w:r>
    </w:p>
    <w:p>
      <w:pPr>
        <w:spacing w:after="100"/>
      </w:pPr>
      <w:r>
        <w:t xml:space="preserve">Cloned from Bloomerang Donor Portal</w:t>
      </w:r>
    </w:p>
    <w:p>
      <w:pPr>
        <w:spacing w:after="400"/>
      </w:pPr>
      <w:r>
        <w:t xml:space="preserve">Report Date: February 2025</w:t>
      </w:r>
    </w:p>
    <w:p>
      <w:pPr>
        <w:spacing w:before="0" w:after="0"/>
      </w:pPr>
    </w:p>
    <w:p>
      <w:pPr>
        <w:pStyle w:val="Heading1"/>
        <w:spacing w:before="400" w:after="200"/>
      </w:pPr>
      <w:r>
        <w:t xml:space="preserve">SECTION 1: APP CLONE AUDIT — BLOOMERANG DONOR PORTAL</w:t>
      </w:r>
    </w:p>
    <w:p>
      <w:pPr>
        <w:pStyle w:val="Heading2"/>
        <w:spacing w:before="200" w:after="100"/>
      </w:pPr>
      <w:r>
        <w:t xml:space="preserve">Executive Summary</w:t>
      </w:r>
    </w:p>
    <w:p>
      <w:pPr>
        <w:spacing w:line="240"/>
      </w:pPr>
      <w:r>
        <w:t xml:space="preserve">The E24 Donor Portal represents a comprehensive ecosystem redesign cloned and adapted from Bloomerang's industry-leading Donor Portal platform. This audit establishes the foundational mapping between Bloomerang's proven donor self-service capabilities and the BroyhillGOP Donor Self-Service Portal. The assessment covers 14 distinct functional areas with detailed specifications for feature parity, technical requirements, and operational workflows. This audit ensures that all critical donor-facing capabilities are captured, sequenced, and validated against best-practice standards in nonprofit and political campaign donor management.</w:t>
      </w:r>
    </w:p>
    <w:p>
      <w:pPr>
        <w:spacing w:line="240"/>
      </w:pPr>
      <w:r>
        <w:t xml:space="preserve">The Bloomerang Donor Portal serves as the reference architecture for self-service donor engagement. Bloomerang has established itself as a market leader in cloud-based donor CRM and engagement platforms, with particular strength in the nonprofit and political sectors. Their Donor Portal feature set represents the culmination of over a decade of donor engagement research, A/B testing, and optimization. The portal enables donors to view their giving history, track the impact of their contributions, register for events, manage recurring donations, download tax receipts, update personal information, express communication preferences, look up matching gift opportunities, volunteer through an integrated signup system, and discover campaign impact stories.</w:t>
      </w:r>
    </w:p>
    <w:p>
      <w:pPr>
        <w:spacing w:line="240"/>
      </w:pPr>
      <w:r>
        <w:t xml:space="preserve">This audit maps each Bloomerang capability to corresponding BroyhillGOP functional areas. The mapping exercise reveals a 1:1 correspondence between all major feature categories, with some areas receiving enhanced specialization for political campaign contexts. The BroyhillGOP implementation incorporates Bloomerang's proven interaction patterns while adding domain-specific enhancements such as candidate relationship tracking, campaign contribution limits compliance checking, and integrated volunteer-to-donor conversion workflows. The audit document serves as both a requirements specification and a validation checkpoint for development 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Bloomerang Feature</w:t>
            </w:r>
          </w:p>
        </w:tc>
        <w:tc>
          <w:p>
            <w:r>
              <w:t xml:space="preserve">BroyhillGOP Feature</w:t>
            </w:r>
          </w:p>
        </w:tc>
        <w:tc>
          <w:p>
            <w:r>
              <w:t xml:space="preserve">Priority</w:t>
            </w:r>
          </w:p>
        </w:tc>
      </w:tr>
      <w:tr>
        <w:tc>
          <w:p>
            <w:r>
              <w:t xml:space="preserve">Self-service donor account</w:t>
            </w:r>
          </w:p>
        </w:tc>
        <w:tc>
          <w:p>
            <w:r>
              <w:t xml:space="preserve">Donor Self-Service Portal</w:t>
            </w:r>
          </w:p>
        </w:tc>
        <w:tc>
          <w:p>
            <w:r>
              <w:t xml:space="preserve">P0</w:t>
            </w:r>
          </w:p>
        </w:tc>
      </w:tr>
      <w:tr>
        <w:tc>
          <w:p>
            <w:r>
              <w:t xml:space="preserve">Giving history</w:t>
            </w:r>
          </w:p>
        </w:tc>
        <w:tc>
          <w:p>
            <w:r>
              <w:t xml:space="preserve">Giving Dashboard</w:t>
            </w:r>
          </w:p>
        </w:tc>
        <w:tc>
          <w:p>
            <w:r>
              <w:t xml:space="preserve">P0</w:t>
            </w:r>
          </w:p>
        </w:tc>
      </w:tr>
      <w:tr>
        <w:tc>
          <w:p>
            <w:r>
              <w:t xml:space="preserve">Recurring donation management</w:t>
            </w:r>
          </w:p>
        </w:tc>
        <w:tc>
          <w:p>
            <w:r>
              <w:t xml:space="preserve">Recurring Gift Management</w:t>
            </w:r>
          </w:p>
        </w:tc>
        <w:tc>
          <w:p>
            <w:r>
              <w:t xml:space="preserve">P0</w:t>
            </w:r>
          </w:p>
        </w:tc>
      </w:tr>
      <w:tr>
        <w:tc>
          <w:p>
            <w:r>
              <w:t xml:space="preserve">Tax receipt downloads</w:t>
            </w:r>
          </w:p>
        </w:tc>
        <w:tc>
          <w:p>
            <w:r>
              <w:t xml:space="preserve">Tax Receipt Center</w:t>
            </w:r>
          </w:p>
        </w:tc>
        <w:tc>
          <w:p>
            <w:r>
              <w:t xml:space="preserve">P0</w:t>
            </w:r>
          </w:p>
        </w:tc>
      </w:tr>
      <w:tr>
        <w:tc>
          <w:p>
            <w:r>
              <w:t xml:space="preserve">Personal information updates</w:t>
            </w:r>
          </w:p>
        </w:tc>
        <w:tc>
          <w:p>
            <w:r>
              <w:t xml:space="preserve">Profile Manager</w:t>
            </w:r>
          </w:p>
        </w:tc>
        <w:tc>
          <w:p>
            <w:r>
              <w:t xml:space="preserve">P0</w:t>
            </w:r>
          </w:p>
        </w:tc>
      </w:tr>
      <w:tr>
        <w:tc>
          <w:p>
            <w:r>
              <w:t xml:space="preserve">Communication preferences</w:t>
            </w:r>
          </w:p>
        </w:tc>
        <w:tc>
          <w:p>
            <w:r>
              <w:t xml:space="preserve">Communication Preferences</w:t>
            </w:r>
          </w:p>
        </w:tc>
        <w:tc>
          <w:p>
            <w:r>
              <w:t xml:space="preserve">P0</w:t>
            </w:r>
          </w:p>
        </w:tc>
      </w:tr>
      <w:tr>
        <w:tc>
          <w:p>
            <w:r>
              <w:t xml:space="preserve">Event registration</w:t>
            </w:r>
          </w:p>
        </w:tc>
        <w:tc>
          <w:p>
            <w:r>
              <w:t xml:space="preserve">Event Calendar &amp; RSVP</w:t>
            </w:r>
          </w:p>
        </w:tc>
        <w:tc>
          <w:p>
            <w:r>
              <w:t xml:space="preserve">P0</w:t>
            </w:r>
          </w:p>
        </w:tc>
      </w:tr>
      <w:tr>
        <w:tc>
          <w:p>
            <w:r>
              <w:t xml:space="preserve">Pledge tracking</w:t>
            </w:r>
          </w:p>
        </w:tc>
        <w:tc>
          <w:p>
            <w:r>
              <w:t xml:space="preserve">Pledge Tracker</w:t>
            </w:r>
          </w:p>
        </w:tc>
        <w:tc>
          <w:p>
            <w:r>
              <w:t xml:space="preserve">P1</w:t>
            </w:r>
          </w:p>
        </w:tc>
      </w:tr>
      <w:tr>
        <w:tc>
          <w:p>
            <w:r>
              <w:t xml:space="preserve">Impact reports</w:t>
            </w:r>
          </w:p>
        </w:tc>
        <w:tc>
          <w:p>
            <w:r>
              <w:t xml:space="preserve">Campaign Impact Reports</w:t>
            </w:r>
          </w:p>
        </w:tc>
        <w:tc>
          <w:p>
            <w:r>
              <w:t xml:space="preserve">P0</w:t>
            </w:r>
          </w:p>
        </w:tc>
      </w:tr>
      <w:tr>
        <w:tc>
          <w:p>
            <w:r>
              <w:t xml:space="preserve">Donor recognition wall</w:t>
            </w:r>
          </w:p>
        </w:tc>
        <w:tc>
          <w:p>
            <w:r>
              <w:t xml:space="preserve">Donor Recognition</w:t>
            </w:r>
          </w:p>
        </w:tc>
        <w:tc>
          <w:p>
            <w:r>
              <w:t xml:space="preserve">P1</w:t>
            </w:r>
          </w:p>
        </w:tc>
      </w:tr>
      <w:tr>
        <w:tc>
          <w:p>
            <w:r>
              <w:t xml:space="preserve">Online giving</w:t>
            </w:r>
          </w:p>
        </w:tc>
        <w:tc>
          <w:p>
            <w:r>
              <w:t xml:space="preserve">Quick Give</w:t>
            </w:r>
          </w:p>
        </w:tc>
        <w:tc>
          <w:p>
            <w:r>
              <w:t xml:space="preserve">P0</w:t>
            </w:r>
          </w:p>
        </w:tc>
      </w:tr>
      <w:tr>
        <w:tc>
          <w:p>
            <w:r>
              <w:t xml:space="preserve">Saved payment methods</w:t>
            </w:r>
          </w:p>
        </w:tc>
        <w:tc>
          <w:p>
            <w:r>
              <w:t xml:space="preserve">Payment Methods</w:t>
            </w:r>
          </w:p>
        </w:tc>
        <w:tc>
          <w:p>
            <w:r>
              <w:t xml:space="preserve">P0</w:t>
            </w:r>
          </w:p>
        </w:tc>
      </w:tr>
      <w:tr>
        <w:tc>
          <w:p>
            <w:r>
              <w:t xml:space="preserve">Matching gift lookup</w:t>
            </w:r>
          </w:p>
        </w:tc>
        <w:tc>
          <w:p>
            <w:r>
              <w:t xml:space="preserve">Matching Gifts</w:t>
            </w:r>
          </w:p>
        </w:tc>
        <w:tc>
          <w:p>
            <w:r>
              <w:t xml:space="preserve">P1</w:t>
            </w:r>
          </w:p>
        </w:tc>
      </w:tr>
      <w:tr>
        <w:tc>
          <w:p>
            <w:r>
              <w:t xml:space="preserve">Volunteer signup</w:t>
            </w:r>
          </w:p>
        </w:tc>
        <w:tc>
          <w:p>
            <w:r>
              <w:t xml:space="preserve">Volunteer Integration</w:t>
            </w:r>
          </w:p>
        </w:tc>
        <w:tc>
          <w:p>
            <w:r>
              <w:t xml:space="preserve">P0</w:t>
            </w:r>
          </w:p>
        </w:tc>
      </w:tr>
    </w:tbl>
    <w:p>
      <w:pPr>
        <w:pStyle w:val="Heading2"/>
        <w:spacing w:before="400" w:after="100"/>
      </w:pPr>
      <w:r>
        <w:t xml:space="preserve">Self-Service Donor Account: Foundational Layer</w:t>
      </w:r>
    </w:p>
    <w:p>
      <w:pPr>
        <w:spacing w:line="240"/>
      </w:pPr>
      <w:r>
        <w:t xml:space="preserve">The self-service donor account represents the foundational entry point for all portal interactions. In Bloomerang, this feature provides secure, role-based access to a personalized dashboard where donors can view consolidated account information, manage notification preferences, update contact details, and track engagement history. The account authentication layer utilizes OAuth 2.0 standards with support for single sign-on integration, reducing friction for returning donors. The BroyhillGOP implementation extends this capability with campaign-specific customizations, including primary candidate linkage, contribution cycle awareness, and coordinated multicandidate giving views. Account creation requires email verification and optional phone number confirmation. The system maintains audit logs of all account access, profile modifications, and sensitive data exposure events for compliance purposes.</w:t>
      </w:r>
    </w:p>
    <w:p>
      <w:pPr>
        <w:spacing w:line="240"/>
      </w:pPr>
      <w:r>
        <w:t xml:space="preserve">Feature Capability 1: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5: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6: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7: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8: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9: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10: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11: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12: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13: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14: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15: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16: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17: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18: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19: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20: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21: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22: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23: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24: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25: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26: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27: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28: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29: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30: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31: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32: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33: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34: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35: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36: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37: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38: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39: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40: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41: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42: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43: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44: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45: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46: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47: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48: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49: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spacing w:line="240"/>
      </w:pPr>
      <w:r>
        <w:t xml:space="preserve">Feature Capability 50: The self-service donor account system continuously evolves to incorporate enhanced security, privacy protections, and user experience improvements. Multi-factor authentication options including SMS verification, authenticator apps, and biometric recognition strengthen account security against unauthorized access. Privacy controls enable donors to manage data visibility, specifying which committee partners can access their profile information. Preference inheritance patterns enable donors to establish organization-wide preferences once, automatically applying to relationships with multiple campaigns. Account recovery workflows support donors who forget passwords or lose access, with options including email verification, security question responses, or phone confirmation. Account linkage enables donors supporting multiple campaigns to consolidate their profiles, viewing unified giving history across candidates while maintaining separate communication preferences per candidate.</w:t>
      </w:r>
    </w:p>
    <w:p>
      <w:pPr>
        <w:pStyle w:val="Heading1"/>
        <w:spacing w:before="400" w:after="200"/>
      </w:pPr>
      <w:r>
        <w:t xml:space="preserve">SECTION 2: USER JOURNEY</w:t>
      </w:r>
    </w:p>
    <w:p>
      <w:pPr>
        <w:pStyle w:val="Heading2"/>
        <w:spacing w:before="200" w:after="100"/>
      </w:pPr>
      <w:r>
        <w:t xml:space="preserve">The Donor Portal User Journey: From Login to Action</w:t>
      </w:r>
    </w:p>
    <w:p>
      <w:pPr>
        <w:spacing w:line="240"/>
      </w:pPr>
      <w:r>
        <w:t xml:space="preserve">The donor portal user journey begins at the login screen, where returning donors authenticate using their email address and password, or through social login providers (Google, Facebook) or single sign-on integration. First-time visitors are directed to account creation, which requires email verification and basic profile information. Upon successful authentication, the donor lands on their personalized dashboard—a consolidated hub displaying their giving history, upcoming events, profile status, and impact visualization.</w:t>
      </w:r>
    </w:p>
    <w:p>
      <w:pPr>
        <w:pStyle w:val="Heading2"/>
        <w:spacing w:before="300" w:after="100"/>
      </w:pPr>
      <w:r>
        <w:t xml:space="preserve">Step 1: Authentication and Portal Entry</w:t>
      </w:r>
    </w:p>
    <w:p>
      <w:pPr>
        <w:spacing w:line="240"/>
      </w:pPr>
      <w:r>
        <w:t xml:space="preserve">Donor secures login credentials and accesses personalized dashboard. The authentication system validates credentials against the donor database, confirms email verification status, and loads user preferences for dashboard layout, report frequency, and notification settings. Session management implements 30-minute inactivity timeouts with automatic redirect to secure logout.</w:t>
      </w:r>
    </w:p>
    <w:p>
      <w:pPr>
        <w:pStyle w:val="Heading2"/>
        <w:spacing w:before="300" w:after="100"/>
      </w:pPr>
      <w:r>
        <w:t xml:space="preserve">Step 2: Dashboard Overview</w:t>
      </w:r>
    </w:p>
    <w:p>
      <w:pPr>
        <w:spacing w:line="240"/>
      </w:pPr>
      <w:r>
        <w:t xml:space="preserve">The dashboard displays a visual summary of the donor's relationship with the campaign. Key metrics include total lifetime contributions, current year giving, contribution frequency, and average gift size. Widgets show upcoming campaign events, volunteer opportunities, and pending action items. A prominent Quick Give button enables immediate donation initiation without navigation.</w:t>
      </w:r>
    </w:p>
    <w:p>
      <w:pPr>
        <w:pStyle w:val="Heading2"/>
        <w:spacing w:before="300" w:after="100"/>
      </w:pPr>
      <w:r>
        <w:t xml:space="preserve">Step 3: Giving History Exploration</w:t>
      </w:r>
    </w:p>
    <w:p>
      <w:pPr>
        <w:spacing w:line="240"/>
      </w:pPr>
      <w:r>
        <w:t xml:space="preserve">Donors click on the Giving History widget to explore detailed transaction records. The detailed view displays sortable tables of all contributions with dates, amounts, designations, and payment methods. Interactive charts show giving trends over time, with ability to filter by year, campaign, or contribution type. Donors can export giving reports to PDF or CSV, download individual receipts, or email statements.</w:t>
      </w:r>
    </w:p>
    <w:p>
      <w:pPr>
        <w:pStyle w:val="Heading2"/>
        <w:spacing w:before="300" w:after="100"/>
      </w:pPr>
      <w:r>
        <w:t xml:space="preserve">Step 4: Impact Recognition and Campaign Updates</w:t>
      </w:r>
    </w:p>
    <w:p>
      <w:pPr>
        <w:spacing w:line="240"/>
      </w:pPr>
      <w:r>
        <w:t xml:space="preserve">The Impact Dashboard displays the tangible results of donor contributions. Widgets show campaign progress metrics including doors knocked, calls made, volunteers mobilized, and dollars raised. For major donors, custom impact reports highlight their specific contributions to campaign objectives. Video testimonials from campaign leadership thank donors by name and reference their giving levels.</w:t>
      </w:r>
    </w:p>
    <w:p>
      <w:pPr>
        <w:pStyle w:val="Heading2"/>
        <w:spacing w:before="300" w:after="100"/>
      </w:pPr>
      <w:r>
        <w:t xml:space="preserve">Step 5: Personal Thank You and Recognition</w:t>
      </w:r>
    </w:p>
    <w:p>
      <w:pPr>
        <w:spacing w:line="240"/>
      </w:pPr>
      <w:r>
        <w:t xml:space="preserve">Donors see personalized thank-you messages from the candidate, campaign manager, or finance director. These messages are triggered by giving milestones including first gift, cumulative thresholds, and recurring gift establishment. The thank-you includes a brief video from leadership, customized by giving level. Recognition appears on the Donor Recognition wall with permission-based visibility controls.</w:t>
      </w:r>
    </w:p>
    <w:p>
      <w:pPr>
        <w:pStyle w:val="Heading2"/>
        <w:spacing w:before="300" w:after="100"/>
      </w:pPr>
      <w:r>
        <w:t xml:space="preserve">Step 6: Next Suggested Action</w:t>
      </w:r>
    </w:p>
    <w:p>
      <w:pPr>
        <w:spacing w:line="240"/>
      </w:pPr>
      <w:r>
        <w:t xml:space="preserve">Based on the donor's history, segment, and campaign stage, the portal suggests the next optimal action. For first-time donors, suggestions include setting up a recurring gift or inviting friends to donate. For recurring donors, suggestions include increasing monthly amount or volunteering. These suggestions are generated by the E20 Intelligence Brain and calibrated to match donor readiness.</w:t>
      </w:r>
    </w:p>
    <w:p>
      <w:pPr>
        <w:spacing w:line="240"/>
      </w:pPr>
      <w:r>
        <w:t xml:space="preserve">Journey Enhancement 1: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5: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6: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7: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8: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9: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10: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11: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12: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13: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14: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15: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16: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17: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18: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19: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20: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21: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22: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23: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24: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25: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26: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27: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28: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29: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30: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31: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32: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33: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34: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35: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36: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37: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38: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39: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40: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41: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42: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43: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44: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spacing w:line="240"/>
      </w:pPr>
      <w:r>
        <w:t xml:space="preserve">Journey Enhancement 45: The donor portal user journey continuously evolves based on engagement metrics and user feedback. A/B testing compares alternative dashboard layouts, button placements, and messaging frameworks. Cohort analysis reveals which journey variations produce highest conversion rates to recurring giving, event attendance, and volunteer signup. Behavioral analytics track clickthrough rates, time-on-page metrics, and action completion rates for each journey step.</w:t>
      </w:r>
    </w:p>
    <w:p>
      <w:pPr>
        <w:pStyle w:val="Heading1"/>
        <w:spacing w:before="400" w:after="200"/>
      </w:pPr>
      <w:r>
        <w:t xml:space="preserve">SECTION 3: COMMAND CENTER</w:t>
      </w:r>
    </w:p>
    <w:p>
      <w:pPr>
        <w:pStyle w:val="Heading2"/>
        <w:spacing w:before="200" w:after="100"/>
      </w:pPr>
      <w:r>
        <w:t xml:space="preserve">My Giving: Comprehensive Contribution Management</w:t>
      </w:r>
    </w:p>
    <w:p>
      <w:pPr>
        <w:spacing w:line="240"/>
      </w:pPr>
      <w:r>
        <w:t xml:space="preserve">The My Giving module provides donors complete control over their contribution profile and giving preferences. This section includes transaction history, recurring gift management, payment method administration, and giving goals. Donors can view all contributions with full details including dates, amounts, payment methods, designations, and associated acknowledgments. The module allows donors to edit giving preferences without staff intervention, including campaign allocation percentages, anonymous giving election, matching gift enrollment, and tax receipt delivery preferences.</w:t>
      </w:r>
    </w:p>
    <w:p>
      <w:pPr>
        <w:pStyle w:val="Heading2"/>
        <w:spacing w:before="300" w:after="100"/>
      </w:pPr>
      <w:r>
        <w:t xml:space="preserve">My Events: Calendar Management and RSVP</w:t>
      </w:r>
    </w:p>
    <w:p>
      <w:pPr>
        <w:spacing w:line="240"/>
      </w:pPr>
      <w:r>
        <w:t xml:space="preserve">The My Events module displays all upcoming campaign events with personalized filtering based on donor location, interests, and giving level. Donors can register for events directly through the portal, receive automated reminders, and access event logistics including venue address, parking information, speaker bios, and agenda details. RSVP management enables donors to modify registration status, add plus-ones, indicate accessibility requirements, and request sponsorship levels.</w:t>
      </w:r>
    </w:p>
    <w:p>
      <w:pPr>
        <w:pStyle w:val="Heading2"/>
        <w:spacing w:before="300" w:after="100"/>
      </w:pPr>
      <w:r>
        <w:t xml:space="preserve">My Profile: Information and Preference Management</w:t>
      </w:r>
    </w:p>
    <w:p>
      <w:pPr>
        <w:spacing w:line="240"/>
      </w:pPr>
      <w:r>
        <w:t xml:space="preserve">The My Profile section enables donors to maintain accurate contact information without staff assistance. Donors can update email addresses, phone numbers, mailing addresses, and employment information. Preference settings control communication frequency, channel selection (email, SMS, phone), and content interests. Donors can manage privacy settings including whether they appear on recognition walls, whether their contact information is shared with partner campaigns, and whether they consent to data analytics.</w:t>
      </w:r>
    </w:p>
    <w:p>
      <w:pPr>
        <w:pStyle w:val="Heading2"/>
        <w:spacing w:before="300" w:after="100"/>
      </w:pPr>
      <w:r>
        <w:t xml:space="preserve">My Impact: Results and Campaign Progress</w:t>
      </w:r>
    </w:p>
    <w:p>
      <w:pPr>
        <w:spacing w:line="240"/>
      </w:pPr>
      <w:r>
        <w:t xml:space="preserve">The My Impact module demonstrates the tangible results of donor contributions. Customized dashboards display campaign metrics directly attributable to fundraising. Impact reports include video testimonials from campaign leadership, volunteer testimonials from individuals who benefited from donor funding, and results dashboards showing progress toward campaign objectives. Donors can drill down into specific areas of impact interest, from field operations metrics to digital campaign reach. Comparison tools show how their giving compares to campaign aggregate fundraising and peer giving levels.</w:t>
      </w:r>
    </w:p>
    <w:p>
      <w:pPr>
        <w:pStyle w:val="Heading2"/>
        <w:spacing w:before="300" w:after="100"/>
      </w:pPr>
      <w:r>
        <w:t xml:space="preserve">Quick Actions: Immediate Engagement Options</w:t>
      </w:r>
    </w:p>
    <w:p>
      <w:pPr>
        <w:spacing w:line="240"/>
      </w:pPr>
      <w:r>
        <w:t xml:space="preserve">The Quick Actions module provides immediate engagement without deep navigation. One-click actions include Make a Gift, Register for Event, Volunteer Now, Share Campaign, and Invite Friends. Each action is contextually relevant based on campaign stage, donor segment, and real-time availability. The module includes a suggestion engine recommending next actions based on predictive analytics. Action completion triggers automated workflows including confirmation emails, thank-you messages, and follow-up engagement sequences.</w:t>
      </w:r>
    </w:p>
    <w:p>
      <w:pPr>
        <w:spacing w:line="240"/>
      </w:pPr>
      <w:r>
        <w:t xml:space="preserve">Command Center Enhancement 1: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4: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5: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6: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7: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8: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9: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10: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11: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12: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13: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14: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15: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16: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17: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18: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19: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20: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21: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22: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23: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24: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25: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26: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27: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28: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29: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30: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31: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32: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33: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34: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35: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36: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37: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38: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39: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spacing w:line="240"/>
      </w:pPr>
      <w:r>
        <w:t xml:space="preserve">Command Center Enhancement 40: The Command Center evolves to incorporate real-time data, predictive insights, and AI-powered recommendations. Integration with the E20 Intelligence Brain enables the system to predict optimal engagement timing and personalized messaging. Machine learning algorithms analyze donor behavior patterns to identify individuals approaching major donor thresholds or at risk of lapsing.</w:t>
      </w:r>
    </w:p>
    <w:p>
      <w:pPr>
        <w:pStyle w:val="Heading1"/>
        <w:spacing w:before="400" w:after="200"/>
      </w:pPr>
      <w:r>
        <w:t xml:space="preserve">SECTION 4: ADMIN PANEL</w:t>
      </w:r>
    </w:p>
    <w:p>
      <w:pPr>
        <w:pStyle w:val="Heading2"/>
        <w:spacing w:before="200" w:after="100"/>
      </w:pPr>
      <w:r>
        <w:t xml:space="preserve">Portal Usage Analytics: Engagement Measurement</w:t>
      </w:r>
    </w:p>
    <w:p>
      <w:pPr>
        <w:spacing w:line="240"/>
      </w:pPr>
      <w:r>
        <w:t xml:space="preserve">The Admin Panel provides campaign managers comprehensive visibility into portal adoption, usage patterns, and engagement effectiveness. Portal Usage Analytics dashboard displays daily active users, monthly active users, feature adoption rates, and page visit frequency. Heatmaps reveal which portal features attract highest engagement, identifying optimization priorities. User cohort analysis segments portal users by giving level, tenure, engagement frequency, and demographic characteristics.</w:t>
      </w:r>
    </w:p>
    <w:p>
      <w:pPr>
        <w:pStyle w:val="Heading2"/>
        <w:spacing w:before="300" w:after="100"/>
      </w:pPr>
      <w:r>
        <w:t xml:space="preserve">Self-Service Adoption Rate: Success Metrics</w:t>
      </w:r>
    </w:p>
    <w:p>
      <w:pPr>
        <w:spacing w:line="240"/>
      </w:pPr>
      <w:r>
        <w:t xml:space="preserve">The Self-Service Adoption Rate metrics measure what percentage of donors independently complete key activities through the portal without staff assistance. Target metrics include: tax receipt downloads via portal (target: 80% self-service), giving history access (target: 75% self-service), communication preference updates (target: 70% self-service), event registration (target: 65% self-service), and profile updates (target: 60% self-service). Achievement of these targets reduces administrative burden on fundraising staff.</w:t>
      </w:r>
    </w:p>
    <w:p>
      <w:pPr>
        <w:pStyle w:val="Heading2"/>
        <w:spacing w:before="300" w:after="100"/>
      </w:pPr>
      <w:r>
        <w:t xml:space="preserve">Recurring Retention Rate: Lifetime Value Indicator</w:t>
      </w:r>
    </w:p>
    <w:p>
      <w:pPr>
        <w:spacing w:line="240"/>
      </w:pPr>
      <w:r>
        <w:t xml:space="preserve">The Recurring Retention Rate tracks what percentage of donors who establish a recurring gift continue that gift over time. Key metrics include: one-year retention (target: 90%), two-year retention (target: 85%), and multi-year retention (target: 80%). These metrics directly correlate with lifetime value, as recurring donors demonstrate higher engagement and respond better to upgrade solicitations. Analysis by gift frequency reveals which recurring schedules produce highest retention.</w:t>
      </w:r>
    </w:p>
    <w:p>
      <w:pPr>
        <w:pStyle w:val="Heading2"/>
        <w:spacing w:before="300" w:after="100"/>
      </w:pPr>
      <w:r>
        <w:t xml:space="preserve">Portal Conversion Rate: Revenue Impact</w:t>
      </w:r>
    </w:p>
    <w:p>
      <w:pPr>
        <w:spacing w:line="240"/>
      </w:pPr>
      <w:r>
        <w:t xml:space="preserve">The Portal Conversion Rate measures what percentage of portal visitors take a desired action (donation, event registration, volunteer signup). Session-based conversion tracking measures what percentage of unique sessions result in at least one conversion. User-based tracking measures what percentage of registered users complete at least one conversion action during a defined period. Attribution modeling connects portal visits to subsequent gifts, determining whether portal engagement influences donation probability.</w:t>
      </w:r>
    </w:p>
    <w:p>
      <w:pPr>
        <w:spacing w:line="240"/>
      </w:pPr>
      <w:r>
        <w:t xml:space="preserve">Admin Panel Optimization 1: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4: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5: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6: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7: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8: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9: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10: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11: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12: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13: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14: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15: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16: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17: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18: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19: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20: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21: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22: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23: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24: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25: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26: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27: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28: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29: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30: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31: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32: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33: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34: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spacing w:line="240"/>
      </w:pPr>
      <w:r>
        <w:t xml:space="preserve">Admin Panel Optimization 35: The Admin Panel provides increasingly sophisticated analytics enabling data-driven optimization. Predictive models forecast portal usage trends, seasonality patterns, and the impact of campaign events on engagement. Anomaly detection alerts administrators to unusual patterns requiring investigation. A/B test management tools enable rapid experimentation with dashboard layouts and messaging variations.</w:t>
      </w:r>
    </w:p>
    <w:p>
      <w:pPr>
        <w:pStyle w:val="Heading1"/>
        <w:spacing w:before="400" w:after="200"/>
      </w:pPr>
      <w:r>
        <w:t xml:space="preserve">SECTION 5: E20 INTELLIGENCE BRAIN</w:t>
      </w:r>
    </w:p>
    <w:p>
      <w:pPr>
        <w:pStyle w:val="Heading2"/>
        <w:spacing w:before="200" w:after="100"/>
      </w:pPr>
      <w:r>
        <w:t xml:space="preserve">Personalized Donor Experience: AI-Driven Customization</w:t>
      </w:r>
    </w:p>
    <w:p>
      <w:pPr>
        <w:spacing w:line="240"/>
      </w:pPr>
      <w:r>
        <w:t xml:space="preserve">The E20 Intelligence Brain powers personalized donor experiences by analyzing individual donor behavior, preferences, and characteristics to deliver hyper-relevant engagement. The system maintains a comprehensive donor profile including giving history, communication preferences, volunteer interests, event attendance, and expressed priorities. Machine learning models predict individual donor preferences for communication channel, optimal send times, preferred message tone, and donation ask amount. Personalization extends across all portal elements: dashboard widgets are ordered by relevance; event suggestions highlight gatherings aligned with geographic location and interests; impact reports emphasize campaign progress in areas the donor cares about.</w:t>
      </w:r>
    </w:p>
    <w:p>
      <w:pPr>
        <w:pStyle w:val="Heading2"/>
        <w:spacing w:before="300" w:after="100"/>
      </w:pPr>
      <w:r>
        <w:t xml:space="preserve">Engagement Prediction: Readiness Signals</w:t>
      </w:r>
    </w:p>
    <w:p>
      <w:pPr>
        <w:spacing w:line="240"/>
      </w:pPr>
      <w:r>
        <w:t xml:space="preserve">The E20 Brain continuously monitors donor engagement signals to predict which donors are most ready for specific engagement opportunities. Signals include recent portal activity, gift anniversary proximity, event RSVP patterns, volunteer hour accumulation, social network growth, and lifecycle stage indicators. Predictive models output engagement readiness scores ranging from 1-100 for various action types: gift upgrade readiness, event attendance likelihood, volunteer commitment probability, and peer referral potential. Campaign managers use these signals to prioritize outreach efforts.</w:t>
      </w:r>
    </w:p>
    <w:p>
      <w:pPr>
        <w:pStyle w:val="Heading2"/>
        <w:spacing w:before="300" w:after="100"/>
      </w:pPr>
      <w:r>
        <w:t xml:space="preserve">Ask Timing Optimization: Revenue Maximization</w:t>
      </w:r>
    </w:p>
    <w:p>
      <w:pPr>
        <w:spacing w:line="240"/>
      </w:pPr>
      <w:r>
        <w:t xml:space="preserve">The E20 Brain predicts optimal timing for solicitation based on comprehensive analysis of individual donor patterns and campaign circumstances. Individual timing optimization considers when the donor historically responds best to solicitations, how frequently they can be solicited without fatigue, and what amount ranges generate highest response. Campaign timing optimization factors in fundraising velocity requirements, matching gift campaign phases, and major candidate announcements. The system generates personalized ask calendar recommendations specifying optimal dates for outreach to each donor.</w:t>
      </w:r>
    </w:p>
    <w:p>
      <w:pPr>
        <w:spacing w:line="240"/>
      </w:pPr>
      <w:r>
        <w:t xml:space="preserve">E20 Brain Evolution 1: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4: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5: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6: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7: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8: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9: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10: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11: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12: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13: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14: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15: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16: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17: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18: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19: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20: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21: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22: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23: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24: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25: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26: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27: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28: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29: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30: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31: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32: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33: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34: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35: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36: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spacing w:line="240"/>
      </w:pPr>
      <w:r>
        <w:t xml:space="preserve">E20 Brain Evolution 37: The Intelligence Brain continuously learns from new data, improving prediction accuracy and personalization relevance. Reinforcement learning algorithms track whether specific recommendations drive desired outcomes, adjusting future recommendations accordingly. Transfer learning applies patterns learned from large donor populations to new, smaller cohorts, enabling effective personalization even for newly acquired donors with limited history.</w:t>
      </w:r>
    </w:p>
    <w:p>
      <w:pPr>
        <w:pStyle w:val="Heading1"/>
        <w:spacing w:before="400" w:after="200"/>
      </w:pPr>
      <w:r>
        <w:t xml:space="preserve">SECTION 6: INSPINIA MAPPING</w:t>
      </w:r>
    </w:p>
    <w:p>
      <w:pPr>
        <w:pStyle w:val="Heading2"/>
        <w:spacing w:before="200" w:after="100"/>
      </w:pPr>
      <w:r>
        <w:t xml:space="preserve">Integration Architecture: Inspinia Dashboard Convergence</w:t>
      </w:r>
    </w:p>
    <w:p>
      <w:pPr>
        <w:spacing w:line="240"/>
      </w:pPr>
      <w:r>
        <w:t xml:space="preserve">The E24 Donor Portal integrates with the Inspinia responsive admin dashboard framework to provide campaign managers comprehensive operational visibility. Inspinia provides a modern, responsive UI framework built on Bootstrap, with extensive widget library, visualization capabilities, and administrative features. The Donor Portal Admin Panel is rendered through Inspinia components including interactive charts, data tables, real-time metrics dashboards, and drill-down reporting. Mapping the portal data model to Inspinia components involves dashboard widgets for key metrics, interactive charts for adoption trends, and data tables for detailed user lists.</w:t>
      </w:r>
    </w:p>
    <w:p>
      <w:pPr>
        <w:pStyle w:val="Heading2"/>
        <w:spacing w:before="300" w:after="100"/>
      </w:pPr>
      <w:r>
        <w:t xml:space="preserve">Visual Design System: Consistency and Branding</w:t>
      </w:r>
    </w:p>
    <w:p>
      <w:pPr>
        <w:spacing w:line="240"/>
      </w:pPr>
      <w:r>
        <w:t xml:space="preserve">The Inspinia mapping ensures visual consistency between the public-facing Donor Portal and internal campaign management systems. Color palettes align with campaign brand guidelines, establishing visual cohesion. Typography systems standardize font families, sizes, and weights across all portal elements. Icon libraries provide consistent visual language for key actions and metrics. Responsive design ensures portal functionality across devices from desktop computers to mobile phones, with layout adaptation for smaller screens. Accessibility standards ensure color contrast ratios meet WCAG AA standards and all interactive elements are keyboard accessible.</w:t>
      </w:r>
    </w:p>
    <w:p>
      <w:pPr>
        <w:pStyle w:val="Heading2"/>
        <w:spacing w:before="300" w:after="100"/>
      </w:pPr>
      <w:r>
        <w:t xml:space="preserve">Real-Time Data Synchronization: Live Metrics</w:t>
      </w:r>
    </w:p>
    <w:p>
      <w:pPr>
        <w:spacing w:line="240"/>
      </w:pPr>
      <w:r>
        <w:t xml:space="preserve">Integration with Inspinia components enables real-time data synchronization between the Donor Portal and campaign operations systems. WebSocket connections stream live updates to admin dashboards, ensuring visible metrics reflect latest donor actions within seconds of completion. Real-time metrics include current number of active portal users, live donation feed showing contributions as they're processed, live volunteer sign-ups, event attendance counts, and recurring gift establishments. Campaign managers monitoring during critical events see live engagement response. Real-time anomaly detection alerts administrators to unusual patterns.</w:t>
      </w:r>
    </w:p>
    <w:p>
      <w:pPr>
        <w:spacing w:line="240"/>
      </w:pPr>
      <w:r>
        <w:t xml:space="preserve">Inspinia Enhancement 1: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4: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5: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6: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7: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8: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9: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10: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11: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12: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13: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14: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15: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16: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17: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18: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19: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20: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21: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22: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23: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24: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25: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26: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27: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28: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29: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30: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31: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32: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33: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34: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spacing w:line="240"/>
      </w:pPr>
      <w:r>
        <w:t xml:space="preserve">Inspinia Enhancement 35: The Inspinia mapping extends beyond visual design to encompass responsive interaction patterns, gesture support for mobile interfaces, and accessibility considerations. Component library development establishes reusable UI modules reducing development time and ensuring consistency. Theme customization enables rapid restyling for different campaign brands. Dark mode support accommodates diverse lighting conditions and accessibility preferences.</w:t>
      </w:r>
    </w:p>
    <w:p>
      <w:pPr>
        <w:pStyle w:val="Heading1"/>
        <w:spacing w:before="400" w:after="200"/>
      </w:pPr>
      <w:r>
        <w:t xml:space="preserve">SECTION 7: SSSA (SELF-SERVICE SCALING ARCHITECTURE)</w:t>
      </w:r>
    </w:p>
    <w:p>
      <w:pPr>
        <w:pStyle w:val="Heading2"/>
        <w:spacing w:before="200" w:after="100"/>
      </w:pPr>
      <w:r>
        <w:t xml:space="preserve">Multi-Tenant Portal Infrastructure: Scalability Framework</w:t>
      </w:r>
    </w:p>
    <w:p>
      <w:pPr>
        <w:spacing w:line="240"/>
      </w:pPr>
      <w:r>
        <w:t xml:space="preserve">The SSSA defines the self-service scaling architecture enabling the Donor Portal to scale from hundreds to hundreds of thousands of concurrent users across multiple campaigns and election cycles. The architecture implements multi-tenancy with complete data isolation between campaigns, enabling each campaign to operate independently while sharing underlying infrastructure. Database sharding distributes donor records across multiple database instances based on campaign and geographic region, enabling linear performance scaling. Read replicas distribute analytics queries away from transactional database, preventing reporting load from impacting real-time donor transactions. Content delivery networks (CDN) cache static portal assets in geographically distributed edge locations.</w:t>
      </w:r>
    </w:p>
    <w:p>
      <w:pPr>
        <w:pStyle w:val="Heading2"/>
        <w:spacing w:before="300" w:after="100"/>
      </w:pPr>
      <w:r>
        <w:t xml:space="preserve">Performance Optimization: Scalability Validation</w:t>
      </w:r>
    </w:p>
    <w:p>
      <w:pPr>
        <w:spacing w:line="240"/>
      </w:pPr>
      <w:r>
        <w:t xml:space="preserve">Performance targets define acceptable system behavior under various load conditions. Portal pages should load in under 3 seconds on 4G mobile connections and under 1 second on desktop broadband. API responses should complete in under 500ms at p95 latency. Database queries should complete in under 100ms at p99 percentile. The system should handle 10x normal traffic during peak periods without degradation. Load testing validates system performance at progressive load levels, identifying bottlenecks and enabling capacity planning. Chaos testing intentionally introduces failures validating graceful degradation.</w:t>
      </w:r>
    </w:p>
    <w:p>
      <w:pPr>
        <w:pStyle w:val="Heading2"/>
        <w:spacing w:before="300" w:after="100"/>
      </w:pPr>
      <w:r>
        <w:t xml:space="preserve">Disaster Recovery: Availability and Resilience</w:t>
      </w:r>
    </w:p>
    <w:p>
      <w:pPr>
        <w:spacing w:line="240"/>
      </w:pPr>
      <w:r>
        <w:t xml:space="preserve">The SSSA implements comprehensive disaster recovery ensuring high availability even in the face of infrastructure failures. Multi-region deployment ensures that if an entire cloud region becomes unavailable, traffic automatically routes to alternative regions, maintaining service continuity. Regular backup procedures capture database snapshots every hour, enabling recovery to any recent time point. Backup redundancy stores backups in geographically separated locations, protecting against regional data center disasters. Recovery time objectives (RTO) target recovery of critical functions within 15 minutes of disaster detection. Recovery point objectives (RPO) ensure data loss of no more than 5 minutes of transaction history.</w:t>
      </w:r>
    </w:p>
    <w:p>
      <w:pPr>
        <w:spacing w:line="240"/>
      </w:pPr>
      <w:r>
        <w:t xml:space="preserve">SSSA Advancement 1: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4: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5: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6: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7: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8: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9: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10: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11: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12: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13: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14: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15: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16: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17: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18: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19: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20: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21: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22: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23: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24: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25: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26: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27: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28: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29: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30: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31: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32: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33: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34: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spacing w:line="240"/>
      </w:pPr>
      <w:r>
        <w:t xml:space="preserve">SSSA Advancement 35: The self-service scaling architecture continuously evolves to accommodate emerging technologies and changing requirements. Kubernetes orchestration enables dynamic container scaling, automatically provisioning additional portal instances as traffic increases. Service mesh infrastructure implements circuit breakers, rate limiting, and intelligent routing, preventing cascading failures. Observability platforms aggregate logs, metrics, and traces from distributed systems, enabling rapid diagnosis of issues.</w:t>
      </w:r>
    </w:p>
    <w:p>
      <w:pPr>
        <w:pStyle w:val="Heading1"/>
        <w:spacing w:before="400" w:after="200"/>
      </w:pPr>
      <w:r>
        <w:t xml:space="preserve">SECTION 8: CAMPAIGN CHIEF STRATEGIC DIALOGS</w:t>
      </w:r>
    </w:p>
    <w:p>
      <w:pPr>
        <w:pStyle w:val="Heading2"/>
        <w:spacing w:before="200" w:after="100"/>
      </w:pPr>
      <w:r>
        <w:t xml:space="preserve">Dialog 1: Donor Engagement and Portal Impact Assessment</w:t>
      </w:r>
    </w:p>
    <w:p>
      <w:pPr>
        <w:spacing w:line="240"/>
      </w:pPr>
      <w:r>
        <w:t xml:space="preserve">Campaign Chief Strategic Dialog 1 convenes campaign finance director, volunteer coordinator, and technology lead to assess donor engagement outcomes and portal impact. The dialog reviews portal adoption metrics: active user count growth (target: 40% of all donors within 90 days), feature adoption rates (recurring gift establishment, event RSVP, impact report viewing), and engagement frequency (median login interval: 14 days). Discussion examines whether portal adoption correlates with improved donor outcomes: recurring gift rates among active portal users (target: 45%) versus non-users (baseline: 25%), event attendance rates among portal event registrants versus non-registered invitees, and volunteer signup rates through portal versus traditional channels.</w:t>
      </w:r>
    </w:p>
    <w:p>
      <w:pPr>
        <w:pStyle w:val="Heading2"/>
        <w:spacing w:before="300" w:after="100"/>
      </w:pPr>
      <w:r>
        <w:t xml:space="preserve">Dialog 2: Portal Optimization and Feature Prioritization</w:t>
      </w:r>
    </w:p>
    <w:p>
      <w:pPr>
        <w:spacing w:line="240"/>
      </w:pPr>
      <w:r>
        <w:t xml:space="preserve">Campaign Chief Strategic Dialog 2 focuses on prioritizing portal improvements to maximize impact on campaign objectives. The dialog analyzes heatmap data showing which dashboard elements capture user attention. Feature requests from users are prioritized using impact-effort matrix: high-impact, low-effort improvements are prioritized for immediate implementation; high-impact, high-effort improvements are scheduled for future development cycles; low-impact improvements are deferred or eliminated. Conversion path analysis reveals bottlenecks preventing desired actions. Optimization experiments test alternative designs against control versions.</w:t>
      </w:r>
    </w:p>
    <w:p>
      <w:pPr>
        <w:pStyle w:val="Heading2"/>
        <w:spacing w:before="300" w:after="100"/>
      </w:pPr>
      <w:r>
        <w:t xml:space="preserve">Dialog 3: Retention Signals and Intervention Strategies</w:t>
      </w:r>
    </w:p>
    <w:p>
      <w:pPr>
        <w:spacing w:line="240"/>
      </w:pPr>
      <w:r>
        <w:t xml:space="preserve">Campaign Chief Strategic Dialog 3 examines donor retention signals and develops intervention strategies for at-risk donors. The E20 Intelligence Brain generates risk scores predicting which donors are likely to lapse within 90 days. Risk signals include: declining portal engagement, no repeat gift within 12 months following first gift, approaching gift anniversary without proactive outreach, and incomplete profile information. Dialog participants develop targeted retention strategies: automated email sequence reminding recurring gift donors of upcoming processing; phone outreach from campaign director to major donors approaching annual milestone; limited-time matching gift campaign targeting lapsed donors; exclusive event invitations for inactive VIP donors.</w:t>
      </w:r>
    </w:p>
    <w:p>
      <w:pPr>
        <w:pStyle w:val="Heading2"/>
        <w:spacing w:before="300" w:after="100"/>
      </w:pPr>
      <w:r>
        <w:t xml:space="preserve">Dialog 4: Upgrade Opportunities and Major Donor Cultivation</w:t>
      </w:r>
    </w:p>
    <w:p>
      <w:pPr>
        <w:spacing w:line="240"/>
      </w:pPr>
      <w:r>
        <w:t xml:space="preserve">Campaign Chief Strategic Dialog 4 identifies upgrade opportunities where donors are ready to increase engagement or giving level. The E20 Brain generates upgrade readiness scores for each donor based on giving trajectory, engagement level, and peer benchmarking. Dialog identifies different upgrade paths: monthly gift establishment (targeting single-gift donors representing recurring gift opportunity), monthly amount increase (recurring donors currently at lower levels with capacity for increase), major donor tier advancement (donors approaching cumulative thresholds), and special engagement opportunities (high-capacity donors matching major donor criteria). For each cohort, tailored cultivation strategies are developed.</w:t>
      </w:r>
    </w:p>
    <w:p>
      <w:pPr>
        <w:spacing w:line="240"/>
      </w:pPr>
      <w:r>
        <w:t xml:space="preserve">Dialog Evolution 1: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3: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4: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5: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6: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7: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8: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9: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10: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11: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12: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13: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14: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15: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16: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17: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18: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19: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20: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21: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22: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23: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24: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25: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26: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27: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28: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29: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p>
      <w:pPr>
        <w:spacing w:line="240"/>
      </w:pPr>
      <w:r>
        <w:t xml:space="preserve">Dialog Evolution 30: Campaign Chief strategic dialogs continue throughout campaign lifecycle, adapting to changing circumstances and emerging data. Quarterly strategic reviews assess cumulative impact of portal improvements and optimization experiments. Election cycle analysis reveals seasonal patterns in donor behavior, enabling campaign to anticipate engagement fluctuations. Post-election analysis captures lessons learned and identifies best practices. Longitudinal cohort tracking follows donors across multiple election cycles, measuring lifetime value and long-term retention.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2026-02-17T05:53:51.022Z</dcterms:created>
  <dcterms:modified xsi:type="dcterms:W3CDTF">2026-02-17T05:53:51.022Z</dcterms:modified>
</cp:coreProperties>
</file>

<file path=docProps/custom.xml><?xml version="1.0" encoding="utf-8"?>
<Properties xmlns="http://schemas.openxmlformats.org/officeDocument/2006/custom-properties" xmlns:vt="http://schemas.openxmlformats.org/officeDocument/2006/docPropsVTypes"/>
</file>