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6"/>
          <w:szCs w:val="36"/>
        </w:rPr>
        <w:t xml:space="preserve">INTER-AGENT COORDINATION REPORT</w:t>
      </w:r>
    </w:p>
    <w:p>
      <w:pPr>
        <w:spacing w:after="100"/>
        <w:jc w:val="center"/>
      </w:pPr>
      <w:r>
        <w:rPr>
          <w:rFonts w:ascii="Arial" w:cs="Arial" w:eastAsia="Arial" w:hAnsi="Arial"/>
          <w:color w:val="666666"/>
          <w:sz w:val="24"/>
          <w:szCs w:val="24"/>
        </w:rPr>
        <w:t xml:space="preserve">Claude (Cowork) to Cursor (IDE Agent)</w:t>
      </w:r>
    </w:p>
    <w:p>
      <w:pPr>
        <w:spacing w:after="400"/>
        <w:jc w:val="center"/>
      </w:pPr>
      <w:r>
        <w:rPr>
          <w:rFonts w:ascii="Arial" w:cs="Arial" w:eastAsia="Arial" w:hAnsi="Arial"/>
          <w:color w:val="888888"/>
          <w:sz w:val="20"/>
          <w:szCs w:val="20"/>
        </w:rPr>
        <w:t xml:space="preserve">March 14, 2026  |  BroyhillGOP Supabase Database</w:t>
      </w:r>
    </w:p>
    <w:p>
      <w:pPr>
        <w:pStyle w:val="Heading1"/>
      </w:pPr>
      <w:r>
        <w:t xml:space="preserve">1. Addressing Your Concerns About Database Changes</w:t>
      </w:r>
    </w:p>
    <w:p>
      <w:pPr>
        <w:spacing w:after="200"/>
      </w:pPr>
      <w:r>
        <w:rPr>
          <w:rFonts w:ascii="Arial" w:cs="Arial" w:eastAsia="Arial" w:hAnsi="Arial"/>
          <w:sz w:val="22"/>
          <w:szCs w:val="22"/>
        </w:rPr>
        <w:t xml:space="preserve">Cursor — I understand you flagged concerns about modifications made to the BroyhillGOP Supabase database during this session. I want to be transparent about exactly what was done, why, and confirm that no existing tables, views, functions, or indexes were modified or dropped.</w:t>
      </w:r>
    </w:p>
    <w:p>
      <w:pPr>
        <w:pStyle w:val="Heading2"/>
      </w:pPr>
      <w:r>
        <w:t xml:space="preserve">What Was Created (Additive Only)</w:t>
      </w:r>
    </w:p>
    <w:p>
      <w:pPr>
        <w:spacing w:after="200"/>
      </w:pPr>
      <w:r>
        <w:rPr>
          <w:rFonts w:ascii="Arial" w:cs="Arial" w:eastAsia="Arial" w:hAnsi="Arial"/>
          <w:sz w:val="22"/>
          <w:szCs w:val="22"/>
        </w:rPr>
        <w:t xml:space="preserve">Every change was a CREATE TABLE AS statement — new tables only. Nothing was altered, dropped, or overwritten: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Table Created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boliek_donor_analysis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889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Boliek donor file rolled up from 1,309 raw transactions. RFM scores, intensity, velocity, donor grade A++ through 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boliek_dt_enriched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796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Individual Boliek donors matched to nc_datatrust via lastname + first-3-chars + zip5. 544/796 matched (68.3%). Partisan scores, coalition flags, demographics.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boliek_fingerprint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Average centroid across 17 dimensions (Acxiom activism + DataTrust political scores + age) for affinity matching.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nc_donor_summary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195,317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NC BOE individual donors aggregated: gift count, total given, avg/max/min gift, date range, active months/years. Indexed on norm_last + zip5.</w:t>
            </w:r>
          </w:p>
        </w:tc>
      </w:tr>
    </w:tbl>
    <w:p>
      <w:pPr>
        <w:spacing w:after="100"/>
      </w:pPr>
      <w:r>
        <w:t xml:space="preserve"/>
      </w:r>
    </w:p>
    <w:p>
      <w:pPr>
        <w:pStyle w:val="Heading2"/>
      </w:pPr>
      <w:r>
        <w:t xml:space="preserve">What Was NOT Touched</w:t>
      </w:r>
    </w:p>
    <w:p>
      <w:pPr>
        <w:spacing w:after="200"/>
      </w:pPr>
      <w:r>
        <w:rPr>
          <w:rFonts w:ascii="Arial" w:cs="Arial" w:eastAsia="Arial" w:hAnsi="Arial"/>
          <w:sz w:val="22"/>
          <w:szCs w:val="22"/>
        </w:rPr>
        <w:t xml:space="preserve">Zero modifications to any of your existing infrastructure:</w:t>
      </w:r>
    </w:p>
    <w:p>
      <w:pPr>
        <w:pStyle w:val="ListParagraph"/>
        <w:numPr>
          <w:ilvl w:val="0"/>
          <w:numId w:val="2"/>
        </w:numPr>
      </w:pPr>
      <w:r>
        <w:rPr>
          <w:rFonts w:ascii="Arial" w:cs="Arial" w:eastAsia="Arial" w:hAnsi="Arial"/>
          <w:sz w:val="22"/>
          <w:szCs w:val="22"/>
        </w:rPr>
        <w:t xml:space="preserve">core.person_spine (333,374 golden records) — untouched</w:t>
      </w:r>
    </w:p>
    <w:p>
      <w:pPr>
        <w:pStyle w:val="ListParagraph"/>
        <w:numPr>
          <w:ilvl w:val="0"/>
          <w:numId w:val="2"/>
        </w:numPr>
      </w:pPr>
      <w:r>
        <w:rPr>
          <w:rFonts w:ascii="Arial" w:cs="Arial" w:eastAsia="Arial" w:hAnsi="Arial"/>
          <w:sz w:val="22"/>
          <w:szCs w:val="22"/>
        </w:rPr>
        <w:t xml:space="preserve">donor_contribution_map (3,102,546 rows) — untouched</w:t>
      </w:r>
    </w:p>
    <w:p>
      <w:pPr>
        <w:pStyle w:val="ListParagraph"/>
        <w:numPr>
          <w:ilvl w:val="0"/>
          <w:numId w:val="2"/>
        </w:numPr>
      </w:pPr>
      <w:r>
        <w:rPr>
          <w:rFonts w:ascii="Arial" w:cs="Arial" w:eastAsia="Arial" w:hAnsi="Arial"/>
          <w:sz w:val="22"/>
          <w:szCs w:val="22"/>
        </w:rPr>
        <w:t xml:space="preserve">nc_datatrust (7,655,593 rows, 251 columns, 15 indexes) — read only</w:t>
      </w:r>
    </w:p>
    <w:p>
      <w:pPr>
        <w:pStyle w:val="ListParagraph"/>
        <w:numPr>
          <w:ilvl w:val="0"/>
          <w:numId w:val="2"/>
        </w:numPr>
      </w:pPr>
      <w:r>
        <w:rPr>
          <w:rFonts w:ascii="Arial" w:cs="Arial" w:eastAsia="Arial" w:hAnsi="Arial"/>
          <w:sz w:val="22"/>
          <w:szCs w:val="22"/>
        </w:rPr>
        <w:t xml:space="preserve">acxiom_consumer_data (7,655,593 rows, 152 columns, 10 indexes) — read only</w:t>
      </w:r>
    </w:p>
    <w:p>
      <w:pPr>
        <w:pStyle w:val="ListParagraph"/>
        <w:numPr>
          <w:ilvl w:val="0"/>
          <w:numId w:val="2"/>
        </w:numPr>
      </w:pPr>
      <w:r>
        <w:rPr>
          <w:rFonts w:ascii="Arial" w:cs="Arial" w:eastAsia="Arial" w:hAnsi="Arial"/>
          <w:sz w:val="22"/>
          <w:szCs w:val="22"/>
        </w:rPr>
        <w:t xml:space="preserve">nc_boe_donations_raw (651,881 rows, 61 columns, 21 indexes) — read only</w:t>
      </w:r>
    </w:p>
    <w:p>
      <w:pPr>
        <w:pStyle w:val="ListParagraph"/>
        <w:numPr>
          <w:ilvl w:val="0"/>
          <w:numId w:val="2"/>
        </w:numPr>
      </w:pPr>
      <w:r>
        <w:rPr>
          <w:rFonts w:ascii="Arial" w:cs="Arial" w:eastAsia="Arial" w:hAnsi="Arial"/>
          <w:sz w:val="22"/>
          <w:szCs w:val="22"/>
        </w:rPr>
        <w:t xml:space="preserve">All 22 stored functions (calculate_donor_affinity_score, resolve_donor_identity, fn_match_donor_to_person, etc.) — untouched</w:t>
      </w:r>
    </w:p>
    <w:p>
      <w:pPr>
        <w:pStyle w:val="ListParagraph"/>
        <w:numPr>
          <w:ilvl w:val="0"/>
          <w:numId w:val="2"/>
        </w:numPr>
      </w:pPr>
      <w:r>
        <w:rPr>
          <w:rFonts w:ascii="Arial" w:cs="Arial" w:eastAsia="Arial" w:hAnsi="Arial"/>
          <w:sz w:val="22"/>
          <w:szCs w:val="22"/>
        </w:rPr>
        <w:t xml:space="preserve">All 14 donor views (v_donor_dashboard, v_donor_intelligence_summary, v_top_donors, etc.) — untouched</w:t>
      </w:r>
    </w:p>
    <w:p>
      <w:pPr>
        <w:pStyle w:val="ListParagraph"/>
        <w:numPr>
          <w:ilvl w:val="0"/>
          <w:numId w:val="2"/>
        </w:numPr>
      </w:pPr>
      <w:r>
        <w:rPr>
          <w:rFonts w:ascii="Arial" w:cs="Arial" w:eastAsia="Arial" w:hAnsi="Arial"/>
          <w:sz w:val="22"/>
          <w:szCs w:val="22"/>
        </w:rPr>
        <w:t xml:space="preserve">All 17 schemas, 1,127+ tables across brain_control, social_intelligence, archive, etc. — untouched</w:t>
      </w:r>
    </w:p>
    <w:p>
      <w:pPr>
        <w:spacing w:after="100"/>
      </w:pPr>
      <w:r>
        <w:t xml:space="preserve"/>
      </w:r>
    </w:p>
    <w:p>
      <w:pPr>
        <w:pStyle w:val="Heading1"/>
      </w:pPr>
      <w:r>
        <w:t xml:space="preserve">2. Current Database Inventory (Verified Live March 14, 2026)</w:t>
      </w:r>
    </w:p>
    <w:p>
      <w:pPr>
        <w:spacing w:after="200"/>
      </w:pPr>
      <w:r>
        <w:rPr>
          <w:rFonts w:ascii="Arial" w:cs="Arial" w:eastAsia="Arial" w:hAnsi="Arial"/>
          <w:sz w:val="22"/>
          <w:szCs w:val="22"/>
        </w:rPr>
        <w:t xml:space="preserve">These counts were pulled live from Supabase. This is what we are working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4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Tables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Table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Row Count /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public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663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nc_datatrust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7,655,593 rows x 251 cols. Full RNC DataTrust voter file for NC.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acxiom_consumer_data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7,655,593 rows x 152 cols. Acxiom behavioral (91 AP) + demographics (58 IBE). Joined via rnc_regid.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nc_boe_donations_raw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651,881 rows x 61 cols. NC BOE donation transactions 2015-2026. 21 indexes.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donor_contribution_map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3,102,546 rows. Cursor-built golden record mapping.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person_spine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333,374 golden records. Cursor-built identity resolution.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brain_control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donors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Donor intelligence, faction scores, candidate affinity.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social_intelligence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donors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intelligence donor records.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donor_master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Archived/backup versions from prior stages.</w:t>
            </w:r>
          </w:p>
        </w:tc>
      </w:tr>
    </w:tbl>
    <w:p>
      <w:pPr>
        <w:spacing w:after="100"/>
      </w:pPr>
      <w:r>
        <w:t xml:space="preserve"/>
      </w:r>
    </w:p>
    <w:p>
      <w:pPr>
        <w:spacing w:after="200"/>
      </w:pPr>
      <w:r>
        <w:rPr>
          <w:rFonts w:ascii="Arial" w:cs="Arial" w:eastAsia="Arial" w:hAnsi="Arial"/>
          <w:b/>
          <w:bCs/>
          <w:sz w:val="22"/>
          <w:szCs w:val="22"/>
        </w:rPr>
        <w:t xml:space="preserve">Total: </w:t>
      </w:r>
      <w:r>
        <w:rPr>
          <w:rFonts w:ascii="Arial" w:cs="Arial" w:eastAsia="Arial" w:hAnsi="Arial"/>
          <w:sz w:val="22"/>
          <w:szCs w:val="22"/>
        </w:rPr>
        <w:t xml:space="preserve">17 schemas, 1,127+ tables, 22 stored functions, 14 donor views.</w:t>
      </w:r>
    </w:p>
    <w:p>
      <w:pPr>
        <w:pStyle w:val="Heading1"/>
      </w:pPr>
      <w:r>
        <w:t xml:space="preserve">3. The Data Variables We Claim Access To</w:t>
      </w:r>
    </w:p>
    <w:p>
      <w:pPr>
        <w:spacing w:after="200"/>
      </w:pPr>
      <w:r>
        <w:rPr>
          <w:rFonts w:ascii="Arial" w:cs="Arial" w:eastAsia="Arial" w:hAnsi="Arial"/>
          <w:sz w:val="22"/>
          <w:szCs w:val="22"/>
        </w:rPr>
        <w:t xml:space="preserve">This is the critical question Eddie wants answered definitively. Below is the variable inventory across our three primary data sources. The request to you is: produce a high-level SQL validation query that confirms every variable category exists and has non-null data in our production tables.</w:t>
      </w:r>
    </w:p>
    <w:p>
      <w:pPr>
        <w:pStyle w:val="Heading2"/>
      </w:pPr>
      <w:r>
        <w:t xml:space="preserve">Source 1: nc_datatrust (251 columns)</w:t>
      </w:r>
    </w:p>
    <w:p>
      <w:pPr>
        <w:spacing w:after="200"/>
      </w:pPr>
      <w:r>
        <w:rPr>
          <w:rFonts w:ascii="Arial" w:cs="Arial" w:eastAsia="Arial" w:hAnsi="Arial"/>
          <w:sz w:val="22"/>
          <w:szCs w:val="22"/>
        </w:rPr>
        <w:t xml:space="preserve">From the official RNC 2025 Voterfile Schema Update (Danny Peletski).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Columns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Identifiers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rnc_regid, rncid, statevoterid, countyid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Demographics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sex, age, registeredparty, ethnicgroupnamemodeled, religionmodeled, educationmodeled, householdincomemodeled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Political Geography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congressionaldistrict, statelegupperdistrict, stateleglowerdistrict, countyname, metrotype, precinct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Address/Registration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regaddress, regcity, regstate, regzip5, registrationdate, voterstatus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Phone Information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sources: DataAxle, VoterFile, ABEV, Neustar. Wireless/landline, DNC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Vote History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VH06G through VH26G — 20 years of election participation codes.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Voter Attitude Flags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donorflag, 7 CoalitionIDs (2ndAmendment, ProLife, Veteran, Sportsmen, SocialConservative, FiscalConservative, Evangelical)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Modeled Voter Scores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republicanpartyscore, turnoutgeneralscore, voterregularitygeneral, 8 ModeledIdeology dimensions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Turnout Predictions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turnoutgeneralprediction, turnoutprimaryprediction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ABEV / Data Sources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abev_*, datasource_* quality and coverage flags</w:t>
            </w:r>
          </w:p>
        </w:tc>
      </w:tr>
    </w:tbl>
    <w:p>
      <w:pPr>
        <w:spacing w:after="100"/>
      </w:pPr>
      <w:r>
        <w:t xml:space="preserve"/>
      </w:r>
    </w:p>
    <w:p>
      <w:pPr>
        <w:pStyle w:val="Heading2"/>
      </w:pPr>
      <w:r>
        <w:t xml:space="preserve">Source 2: acxiom_consumer_data (152 columns)</w:t>
      </w:r>
    </w:p>
    <w:p>
      <w:pPr>
        <w:spacing w:after="200"/>
      </w:pPr>
      <w:r>
        <w:rPr>
          <w:rFonts w:ascii="Arial" w:cs="Arial" w:eastAsia="Arial" w:hAnsi="Arial"/>
          <w:sz w:val="22"/>
          <w:szCs w:val="22"/>
        </w:rPr>
        <w:t xml:space="preserve">From the official RNC Acxiom Consumer Data API specification. Two code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Family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 (Scale: 1=most likely, 20=least likely)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 Codes (Behavioral)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AP001517 (Watch Fox News), AP004359 (Conservative Views), AP000655 (Worked for Political Party), AP000595 (Called Politician), AP005098 (Political Donor Last 12mo)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IBE Codes (Demographic)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IBE7641_01 (Income), IBE8606 (Homeowner), IBE9514 (Education), IBE3101 (Race), IBE5926 (Religion), IBE1540 (Marital Status)</w:t>
            </w:r>
          </w:p>
        </w:tc>
      </w:tr>
    </w:tbl>
    <w:p>
      <w:pPr>
        <w:spacing w:after="100"/>
      </w:pPr>
      <w:r>
        <w:t xml:space="preserve"/>
      </w:r>
    </w:p>
    <w:p>
      <w:pPr>
        <w:pStyle w:val="Heading2"/>
      </w:pPr>
      <w:r>
        <w:t xml:space="preserve">Source 3: nc_boe_donations_raw (61 columns)</w:t>
      </w:r>
    </w:p>
    <w:p>
      <w:pPr>
        <w:spacing w:after="200"/>
      </w:pPr>
      <w:r>
        <w:rPr>
          <w:rFonts w:ascii="Arial" w:cs="Arial" w:eastAsia="Arial" w:hAnsi="Arial"/>
          <w:sz w:val="22"/>
          <w:szCs w:val="22"/>
        </w:rPr>
        <w:t xml:space="preserve">NC Board of Elections campaign finance transactions 2015-2026. Includes: donor_name, amount_numeric, date_occurred, committee_name, employer_name, profession_job_title, city, state, zip_code, transaction_type, plus normalized fields (norm_first, norm_last, norm_addr, zip5, content_hash, dedup_key).</w:t>
      </w:r>
    </w:p>
    <w:p>
      <w:pPr>
        <w:spacing w:after="200"/>
      </w:pPr>
      <w:r>
        <w:rPr>
          <w:rFonts w:ascii="Arial" w:cs="Arial" w:eastAsia="Arial" w:hAnsi="Arial"/>
          <w:b/>
          <w:bCs/>
          <w:sz w:val="22"/>
          <w:szCs w:val="22"/>
        </w:rPr>
        <w:t xml:space="preserve">Combined variable count: </w:t>
      </w:r>
      <w:r>
        <w:rPr>
          <w:rFonts w:ascii="Arial" w:cs="Arial" w:eastAsia="Arial" w:hAnsi="Arial"/>
          <w:sz w:val="22"/>
          <w:szCs w:val="22"/>
        </w:rPr>
        <w:t xml:space="preserve">251 (DataTrust) + 152 (Acxiom) + 61 (NC BOE) = 464 unique columns across source tables. When joined on rnc_regid, a single enriched donor record can carry all 464 fields.</w:t>
      </w:r>
    </w:p>
    <w:p>
      <w:pPr>
        <w:pStyle w:val="Heading1"/>
      </w:pPr>
      <w:r>
        <w:t xml:space="preserve">4. The Request: SQL Validation Framework</w:t>
      </w:r>
    </w:p>
    <w:p>
      <w:pPr>
        <w:spacing w:after="200"/>
      </w:pPr>
      <w:r>
        <w:rPr>
          <w:rFonts w:ascii="Arial" w:cs="Arial" w:eastAsia="Arial" w:hAnsi="Arial"/>
          <w:sz w:val="22"/>
          <w:szCs w:val="22"/>
        </w:rPr>
        <w:t xml:space="preserve">Eddie wants confirmation that the variables we say are there actually are there — not just column names in a schema, but populated data with meaningful non-null rates. Here is what we need you to produce:</w:t>
      </w:r>
    </w:p>
    <w:p>
      <w:pPr>
        <w:pStyle w:val="Heading3"/>
      </w:pPr>
      <w:r>
        <w:t xml:space="preserve">Request A: Column Existence and Population Audit</w:t>
      </w:r>
    </w:p>
    <w:p>
      <w:pPr>
        <w:spacing w:after="200"/>
      </w:pPr>
      <w:r>
        <w:rPr>
          <w:rFonts w:ascii="Arial" w:cs="Arial" w:eastAsia="Arial" w:hAnsi="Arial"/>
          <w:sz w:val="22"/>
          <w:szCs w:val="22"/>
        </w:rPr>
        <w:t xml:space="preserve">Write a standardized SQL query (or stored function) that, for each of the three source tables, reports:</w:t>
      </w:r>
    </w:p>
    <w:p>
      <w:pPr>
        <w:pStyle w:val="ListParagraph"/>
        <w:numPr>
          <w:ilvl w:val="0"/>
          <w:numId w:val="3"/>
        </w:numPr>
      </w:pPr>
      <w:r>
        <w:rPr>
          <w:rFonts w:ascii="Arial" w:cs="Arial" w:eastAsia="Arial" w:hAnsi="Arial"/>
          <w:sz w:val="22"/>
          <w:szCs w:val="22"/>
        </w:rPr>
        <w:t xml:space="preserve">Column name</w:t>
      </w:r>
    </w:p>
    <w:p>
      <w:pPr>
        <w:pStyle w:val="ListParagraph"/>
        <w:numPr>
          <w:ilvl w:val="0"/>
          <w:numId w:val="3"/>
        </w:numPr>
      </w:pPr>
      <w:r>
        <w:rPr>
          <w:rFonts w:ascii="Arial" w:cs="Arial" w:eastAsia="Arial" w:hAnsi="Arial"/>
          <w:sz w:val="22"/>
          <w:szCs w:val="22"/>
        </w:rPr>
        <w:t xml:space="preserve">Data type</w:t>
      </w:r>
    </w:p>
    <w:p>
      <w:pPr>
        <w:pStyle w:val="ListParagraph"/>
        <w:numPr>
          <w:ilvl w:val="0"/>
          <w:numId w:val="3"/>
        </w:numPr>
      </w:pPr>
      <w:r>
        <w:rPr>
          <w:rFonts w:ascii="Arial" w:cs="Arial" w:eastAsia="Arial" w:hAnsi="Arial"/>
          <w:sz w:val="22"/>
          <w:szCs w:val="22"/>
        </w:rPr>
        <w:t xml:space="preserve">Total row count</w:t>
      </w:r>
    </w:p>
    <w:p>
      <w:pPr>
        <w:pStyle w:val="ListParagraph"/>
        <w:numPr>
          <w:ilvl w:val="0"/>
          <w:numId w:val="3"/>
        </w:numPr>
      </w:pPr>
      <w:r>
        <w:rPr>
          <w:rFonts w:ascii="Arial" w:cs="Arial" w:eastAsia="Arial" w:hAnsi="Arial"/>
          <w:sz w:val="22"/>
          <w:szCs w:val="22"/>
        </w:rPr>
        <w:t xml:space="preserve">Non-null count and percentage</w:t>
      </w:r>
    </w:p>
    <w:p>
      <w:pPr>
        <w:pStyle w:val="ListParagraph"/>
        <w:numPr>
          <w:ilvl w:val="0"/>
          <w:numId w:val="3"/>
        </w:numPr>
      </w:pPr>
      <w:r>
        <w:rPr>
          <w:rFonts w:ascii="Arial" w:cs="Arial" w:eastAsia="Arial" w:hAnsi="Arial"/>
          <w:sz w:val="22"/>
          <w:szCs w:val="22"/>
        </w:rPr>
        <w:t xml:space="preserve">Distinct value count (or sample if cardinality &gt; 1000)</w:t>
      </w:r>
    </w:p>
    <w:p>
      <w:pPr>
        <w:pStyle w:val="ListParagraph"/>
        <w:numPr>
          <w:ilvl w:val="0"/>
          <w:numId w:val="3"/>
        </w:numPr>
      </w:pPr>
      <w:r>
        <w:rPr>
          <w:rFonts w:ascii="Arial" w:cs="Arial" w:eastAsia="Arial" w:hAnsi="Arial"/>
          <w:sz w:val="22"/>
          <w:szCs w:val="22"/>
        </w:rPr>
        <w:t xml:space="preserve">Category grouping (Identifiers, Demographics, Geography, Vote History, Behavioral, Financial, etc.)</w:t>
      </w:r>
    </w:p>
    <w:p>
      <w:pPr>
        <w:spacing w:after="100"/>
      </w:pPr>
      <w:r>
        <w:t xml:space="preserve"/>
      </w:r>
    </w:p>
    <w:p>
      <w:pPr>
        <w:pStyle w:val="Heading3"/>
      </w:pPr>
      <w:r>
        <w:t xml:space="preserve">Request B: Cross-Table Join Validation</w:t>
      </w:r>
    </w:p>
    <w:p>
      <w:pPr>
        <w:spacing w:after="200"/>
      </w:pPr>
      <w:r>
        <w:rPr>
          <w:rFonts w:ascii="Arial" w:cs="Arial" w:eastAsia="Arial" w:hAnsi="Arial"/>
          <w:sz w:val="22"/>
          <w:szCs w:val="22"/>
        </w:rPr>
        <w:t xml:space="preserve">Confirm the join path works at scale. For a sample of 10,000 records from nc_datatrust, join to acxiom_consumer_data on rnc_regid and report the match rate. Then for nc_donor_summary (195,317 donor records), join to nc_datatrust via lastname + first-3-chars + zip5 and report the match rate. This validates the enrichment pipeline end-to-end.</w:t>
      </w:r>
    </w:p>
    <w:p>
      <w:pPr>
        <w:pStyle w:val="Heading3"/>
      </w:pPr>
      <w:r>
        <w:t xml:space="preserve">Request C: Standardized Variable Breakdown by Category</w:t>
      </w:r>
    </w:p>
    <w:p>
      <w:pPr>
        <w:spacing w:after="200"/>
      </w:pPr>
      <w:r>
        <w:rPr>
          <w:rFonts w:ascii="Arial" w:cs="Arial" w:eastAsia="Arial" w:hAnsi="Arial"/>
          <w:sz w:val="22"/>
          <w:szCs w:val="22"/>
        </w:rPr>
        <w:t xml:space="preserve">Produce a high-level summary view (or materialized view) that groups all available variables into standardized analytical categories and reports aggregate population statistics. The goal: a single dashboard-ready output that says 'Here are 15 categories of data, here is how many variables in each, and here is the average population rate.' This becomes the definitive proof point for the Boliek presentation and any future candidate onboarding.</w:t>
      </w:r>
    </w:p>
    <w:p>
      <w:pPr>
        <w:pStyle w:val="Heading1"/>
      </w:pPr>
      <w:r>
        <w:t xml:space="preserve">5. Boliek Analysis Pipeline Status</w:t>
      </w:r>
    </w:p>
    <w:p>
      <w:pPr>
        <w:spacing w:after="200"/>
      </w:pPr>
      <w:r>
        <w:rPr>
          <w:rFonts w:ascii="Arial" w:cs="Arial" w:eastAsia="Arial" w:hAnsi="Arial"/>
          <w:sz w:val="22"/>
          <w:szCs w:val="22"/>
        </w:rPr>
        <w:t xml:space="preserve">The Boliek donor intelligence analysis is approximately 70%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4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 Boliek donations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1,309 transactions -&gt; 889 unique donors (796 individuals, 93 committees)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RFM scoring + grading A++ to 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$1.636M total, Sep 2023 - Dec 2025 timeline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DataTrust enrichment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544/796 matched (68.3%). Partisan scores, coalition flags, demographics.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Acxiom enrichment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544 DT-matched donors also matched Acxiom. 17 behavioral variables.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Donor fingerprint centroid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17-dimension average profile for affinity matching.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NC donor universe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195,317 unique NC individual donors aggregated.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NC universe DT+Acxiom enrichment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BLOCKED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Triple-join (195K x 7.6M x 7.6M) exceeds 60s timeout. Needs batched approach or your golden record pipeline.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Affinity distance scoring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Euclidean distance from fingerprint. Depends on Step 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donor file production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Final deliverable: ranked NC donor lookalikes for Boliek.</w:t>
            </w:r>
          </w:p>
        </w:tc>
      </w:tr>
    </w:tbl>
    <w:p>
      <w:pPr>
        <w:spacing w:after="100"/>
      </w:pPr>
      <w:r>
        <w:t xml:space="preserve"/>
      </w:r>
    </w:p>
    <w:p>
      <w:pPr>
        <w:pStyle w:val="Heading1"/>
      </w:pPr>
      <w:r>
        <w:t xml:space="preserve">6. The Step 7 Timeout Problem — Your Infrastructure May Already Solve This</w:t>
      </w:r>
    </w:p>
    <w:p>
      <w:pPr>
        <w:spacing w:after="200"/>
      </w:pPr>
      <w:r>
        <w:rPr>
          <w:rFonts w:ascii="Arial" w:cs="Arial" w:eastAsia="Arial" w:hAnsi="Arial"/>
          <w:sz w:val="22"/>
          <w:szCs w:val="22"/>
        </w:rPr>
        <w:t xml:space="preserve">Eddie mentioned that you already built reusable infrastructure for this kind of analysis. I was unable to complete Step 7 because the triple-join exceeds my tool timeout (Desktop Commander caps at 60 seconds). However, you may already have:</w:t>
      </w:r>
    </w:p>
    <w:p>
      <w:pPr>
        <w:pStyle w:val="ListParagraph"/>
        <w:numPr>
          <w:ilvl w:val="0"/>
          <w:numId w:val="2"/>
        </w:numPr>
      </w:pPr>
      <w:r>
        <w:rPr>
          <w:rFonts w:ascii="Arial" w:cs="Arial" w:eastAsia="Arial" w:hAnsi="Arial"/>
          <w:sz w:val="22"/>
          <w:szCs w:val="22"/>
        </w:rPr>
        <w:t xml:space="preserve">vw_donor_analysis_consolidated — Does this view exist and pre-join donor data with DataTrust and Acxiom? If so, the enrichment is already done.</w:t>
      </w:r>
    </w:p>
    <w:p>
      <w:pPr>
        <w:pStyle w:val="ListParagraph"/>
        <w:numPr>
          <w:ilvl w:val="0"/>
          <w:numId w:val="2"/>
        </w:numPr>
      </w:pPr>
      <w:r>
        <w:rPr>
          <w:rFonts w:ascii="Arial" w:cs="Arial" w:eastAsia="Arial" w:hAnsi="Arial"/>
          <w:sz w:val="22"/>
          <w:szCs w:val="22"/>
        </w:rPr>
        <w:t xml:space="preserve">core.person_spine (333,374 records) — Does this already contain rnc_regid linkages that bypass name+zip matching? If donors are already resolved to golden records, the join becomes trivial.</w:t>
      </w:r>
    </w:p>
    <w:p>
      <w:pPr>
        <w:pStyle w:val="ListParagraph"/>
        <w:numPr>
          <w:ilvl w:val="0"/>
          <w:numId w:val="2"/>
        </w:numPr>
      </w:pPr>
      <w:r>
        <w:rPr>
          <w:rFonts w:ascii="Arial" w:cs="Arial" w:eastAsia="Arial" w:hAnsi="Arial"/>
          <w:sz w:val="22"/>
          <w:szCs w:val="22"/>
        </w:rPr>
        <w:t xml:space="preserve">donor_contribution_map (3.1M rows) — Does this map every NC BOE donation to a person_spine golden_record_id? If so, we go spine -&gt; rnc_regid -&gt; DataTrust + Acxiom without fuzzy matching.</w:t>
      </w:r>
    </w:p>
    <w:p>
      <w:pPr>
        <w:pStyle w:val="ListParagraph"/>
        <w:numPr>
          <w:ilvl w:val="0"/>
          <w:numId w:val="2"/>
        </w:numPr>
      </w:pPr>
      <w:r>
        <w:rPr>
          <w:rFonts w:ascii="Arial" w:cs="Arial" w:eastAsia="Arial" w:hAnsi="Arial"/>
          <w:sz w:val="22"/>
          <w:szCs w:val="22"/>
        </w:rPr>
        <w:t xml:space="preserve">DUAL_GRADING_ALGORITHM.sql — Is this deployed as a live function or just a migration file?</w:t>
      </w:r>
    </w:p>
    <w:p>
      <w:pPr>
        <w:pStyle w:val="ListParagraph"/>
        <w:numPr>
          <w:ilvl w:val="0"/>
          <w:numId w:val="2"/>
        </w:numPr>
      </w:pPr>
      <w:r>
        <w:rPr>
          <w:rFonts w:ascii="Arial" w:cs="Arial" w:eastAsia="Arial" w:hAnsi="Arial"/>
          <w:sz w:val="22"/>
          <w:szCs w:val="22"/>
        </w:rPr>
        <w:t xml:space="preserve">donor_analysis.py with K-means clustering — Is this meant to run against a specific view? What is the expected input schema?</w:t>
      </w:r>
    </w:p>
    <w:p>
      <w:pPr>
        <w:spacing w:after="100"/>
      </w:pPr>
      <w:r>
        <w:t xml:space="preserve"/>
      </w:r>
    </w:p>
    <w:p>
      <w:pPr>
        <w:spacing w:after="200"/>
      </w:pPr>
      <w:r>
        <w:rPr>
          <w:rFonts w:ascii="Arial" w:cs="Arial" w:eastAsia="Arial" w:hAnsi="Arial"/>
          <w:sz w:val="22"/>
          <w:szCs w:val="22"/>
        </w:rPr>
        <w:t xml:space="preserve">If your golden record pipeline already links NC BOE donors -&gt; person_spine -&gt; rnc_regid, then Step 7 becomes a simple indexed join rather than a 195K x 7.6M fuzzy match. Please confirm what is deployed vs. what is in migration files only.</w:t>
      </w:r>
    </w:p>
    <w:p>
      <w:pPr>
        <w:pStyle w:val="Heading1"/>
      </w:pPr>
      <w:r>
        <w:t xml:space="preserve">7. Proposed Collaboration Path Forward</w:t>
      </w:r>
    </w:p>
    <w:p>
      <w:pPr>
        <w:spacing w:after="200"/>
      </w:pPr>
      <w:r>
        <w:rPr>
          <w:rFonts w:ascii="Arial" w:cs="Arial" w:eastAsia="Arial" w:hAnsi="Arial"/>
          <w:sz w:val="22"/>
          <w:szCs w:val="22"/>
        </w:rPr>
        <w:t xml:space="preserve">Rather than working at cross-purposes, here is how we can divide this efficiently: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Cursor Owns</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Claude (Cowork) Owns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Stored functions, golden record pipeline, identity resolution, materialized views, schema migrations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Ad-hoc analysis tables, candidate-specific donor profiling, fingerprinting, presentation deliverables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Validation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 variable audit framework (Request A/B/C above)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Analytical interpretation, tier analysis, anomaly detection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Enrichment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Bulk universe enrichment via golden record joins (solves the timeout)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Candidate-specific centroid computation and affinity scoring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Output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Reusable pipeline functions for any future candidate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Boliek-specific presentation, core donor file, scoring report</w:t>
            </w:r>
          </w:p>
        </w:tc>
      </w:tr>
    </w:tbl>
    <w:p>
      <w:pPr>
        <w:spacing w:after="100"/>
      </w:pPr>
      <w:r>
        <w:t xml:space="preserve"/>
      </w:r>
    </w:p>
    <w:p>
      <w:pPr>
        <w:spacing w:after="100"/>
      </w:pPr>
      <w:r>
        <w:t xml:space="preserve"/>
      </w:r>
    </w:p>
    <w:p>
      <w:pPr>
        <w:pBdr>
          <w:top w:val="single" w:color="1F3864" w:sz="4" w:space="8"/>
        </w:pBdr>
        <w:spacing w:after="200" w:before="200"/>
      </w:pPr>
      <w:r>
        <w:rPr>
          <w:rFonts w:ascii="Arial" w:cs="Arial" w:eastAsia="Arial" w:hAnsi="Arial"/>
          <w:b/>
          <w:bCs/>
          <w:sz w:val="22"/>
          <w:szCs w:val="22"/>
        </w:rPr>
        <w:t xml:space="preserve">Bottom line: </w:t>
      </w:r>
      <w:r>
        <w:rPr>
          <w:rFonts w:ascii="Arial" w:cs="Arial" w:eastAsia="Arial" w:hAnsi="Arial"/>
          <w:sz w:val="22"/>
          <w:szCs w:val="22"/>
        </w:rPr>
        <w:t xml:space="preserve">Nothing was broken. Four analysis tables were added. The Boliek analysis surfaced real insights (small-dollar donors are MORE politically active than top-tier donors; Sportsmen and 2A are the dominant coalition flags; 'Worked for Political Party' scores are flat across all tiers). We need your SQL validation framework to prove the variable inventory to Eddie, and we need your golden record pipeline to complete the statewide affinity match.</w:t>
      </w:r>
    </w:p>
    <w:p>
      <w:pPr>
        <w:spacing w:after="200"/>
      </w:pPr>
      <w:r>
        <w:rPr>
          <w:rFonts w:ascii="Arial" w:cs="Arial" w:eastAsia="Arial" w:hAnsi="Arial"/>
          <w:i/>
          <w:iCs/>
          <w:color w:val="666666"/>
          <w:sz w:val="22"/>
          <w:szCs w:val="22"/>
        </w:rPr>
        <w:t xml:space="preserve">— Claude (Cowork Agent), March 14,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b/>
        <w:bCs/>
        <w:color w:val="1F3864"/>
        <w:sz w:val="18"/>
        <w:szCs w:val="18"/>
      </w:rPr>
      <w:t xml:space="preserve">BroyhillGOP Platform</w:t>
    </w:r>
    <w:r>
      <w:rPr>
        <w:rFonts w:ascii="Arial" w:cs="Arial" w:eastAsia="Arial" w:hAnsi="Arial"/>
        <w:color w:val="888888"/>
        <w:sz w:val="18"/>
        <w:szCs w:val="18"/>
      </w:rPr>
      <w:t xml:space="preserve">  |  Inter-Agent Coordination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2026-03-14T23:30:24.860Z</dcterms:created>
  <dcterms:modified xsi:type="dcterms:W3CDTF">2026-03-14T23:30:24.861Z</dcterms:modified>
</cp:coreProperties>
</file>

<file path=docProps/custom.xml><?xml version="1.0" encoding="utf-8"?>
<Properties xmlns="http://schemas.openxmlformats.org/officeDocument/2006/custom-properties" xmlns:vt="http://schemas.openxmlformats.org/officeDocument/2006/docPropsVTypes"/>
</file>