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center"/>
      </w:pPr>
      <w:r>
        <w:t xml:space="preserve">E10 COMPLIANCE ECOSYSTEM</w:t>
      </w:r>
    </w:p>
    <w:p>
      <w:pPr>
        <w:pStyle w:val="Heading2"/>
        <w:spacing w:after="200"/>
        <w:jc w:val="center"/>
      </w:pPr>
      <w:r>
        <w:t xml:space="preserve">Political Campaign Compliance Management System</w:t>
      </w:r>
    </w:p>
    <w:p>
      <w:pPr>
        <w:spacing w:after="400"/>
        <w:jc w:val="center"/>
      </w:pPr>
      <w:r>
        <w:t xml:space="preserve">Cloned from Aristotle Compliance Platform</w:t>
      </w:r>
    </w:p>
    <w:p>
      <w:pPr>
        <w:spacing w:after="600"/>
        <w:jc w:val="center"/>
      </w:pPr>
      <w:r>
        <w:t xml:space="preserve">BroyhillGOP Campaign System</w:t>
      </w:r>
    </w:p>
    <w:p>
      <w:r>
        <w:t xml:space="preserve">
</w:t>
      </w:r>
    </w:p>
    <w:p>
      <w:pPr>
        <w:pStyle w:val="Heading1"/>
        <w:spacing w:before="400" w:after="300"/>
      </w:pPr>
      <w:r>
        <w:t xml:space="preserve">SECTION 1: APP CLONE AUDIT — ARISTOTLE PLATFORM</w:t>
      </w:r>
    </w:p>
    <w:p>
      <w:pPr>
        <w:spacing w:after="200"/>
      </w:pPr>
      <w:r>
        <w:t xml:space="preserve">The E10 Compliance Ecosystem is architected as a comprehensive feature-parity clone of the Aristotle compliance platform, adapted specifically for the BroyhillGOP campaign management system. This section maps twenty-two core compliance features from the Aristotle platform to equivalent implementations within BroyhillGOP infrastructure.</w:t>
      </w:r>
    </w:p>
    <w:p>
      <w:pPr>
        <w:pStyle w:val="Heading2"/>
        <w:spacing w:after="200"/>
      </w:pPr>
      <w:r>
        <w:t xml:space="preserve">Feature Mapping and Architecture</w:t>
      </w:r>
    </w:p>
    <w:p>
      <w:pPr>
        <w:spacing w:after="200"/>
      </w:pPr>
      <w:r>
        <w:t xml:space="preserve">Aristotle's FEC Filing module enables federal candidates to submit comprehensive financial disclosures to the Federal Election Commission. The E10 system replicates this functionality through FEC Filing (Federal Candidates), allowing seamless integration with federal reporting requirements. This component handles Form 3, Form 3A, and Form 3P submissions with automatic validation against FEC specifications.</w:t>
      </w:r>
    </w:p>
    <w:p>
      <w:pPr>
        <w:spacing w:after="200"/>
      </w:pPr>
      <w:r>
        <w:t xml:space="preserve">State-level filing compliance represents a critical divergence point in campaign finance regulation. Aristotle's State Filing capabilities are implemented in BroyhillGOP as NCBOE Filing (NC State Candidates), providing integrated support for North Carolina State Board of Elections reporting standards. This module accommodates state-specific contribution limits, reporting timelines, and disclosure requirements that differ materially from federal standards.</w:t>
      </w:r>
    </w:p>
    <w:p>
      <w:pPr>
        <w:spacing w:after="200"/>
      </w:pPr>
      <w:r>
        <w:t xml:space="preserve">Contribution limit tracking mechanisms in Aristotle enable campaigns to monitor cumulative contributions from individual donors against statutory thresholds. BroyhillGOP implements this as Contribution Limit Enforcement, incorporating real-time aggregation of contributions across multiple contribution types and automatically flagging contributions that would exceed applicable limits.</w:t>
      </w:r>
    </w:p>
    <w:p>
      <w:pPr>
        <w:spacing w:after="200"/>
      </w:pPr>
      <w:r>
        <w:t xml:space="preserve">Donor compliance verification represents a foundational compliance component. Aristotle's donor compliance verification module prevents illegal contributions from foreign nationals, minors, and restricted entity types. BroyhillGOP's Donor Compliance Screening implements comprehensive verification workflows including foreign national screening against OFAC lists, age verification for minor donors, and entity type validation against restricted contributor categories.</w:t>
      </w:r>
    </w:p>
    <w:p>
      <w:pPr>
        <w:spacing w:after="200"/>
      </w:pPr>
      <w:r>
        <w:t xml:space="preserve">Occupation and employer collection mechanisms ensure that donor identity and intent disclosures meet legal requirements. Aristotle collects occupation and employer information at the point of contribution intake. BroyhillGOP requires occupation and employer data collection at the contribution entry stage, with validation rules ensuring minimum information sufficiency.</w:t>
      </w:r>
    </w:p>
    <w:p>
      <w:pPr>
        <w:spacing w:after="200"/>
      </w:pPr>
      <w:r>
        <w:t xml:space="preserve">Aggregate tracking modules maintain cumulative contribution tallies per donor entity across all reporting periods within a calendar year. Aristotle's aggregate tracking implements forward-looking and backward-looking aggregate calculations, enabling campaigns to predict contribution limit status before accepting additional contributions.</w:t>
      </w:r>
    </w:p>
    <w:p>
      <w:pPr>
        <w:spacing w:after="200"/>
      </w:pPr>
      <w:r>
        <w:t xml:space="preserve">Disclaimer management in Aristotle automates the generation and deployment of federally mandated disclaimers across multiple communication channels. BroyhillGOP's Disclaimer Generator produces customized disclaimers for email, print, digital advertisements, social media, and website placements, ensuring compliance with all applicable disclaimer requirements.</w:t>
      </w:r>
    </w:p>
    <w:p>
      <w:pPr>
        <w:spacing w:after="200"/>
      </w:pPr>
      <w:r>
        <w:t xml:space="preserve">PAC management capabilities enable campaigns to coordinate with affiliated political action committees while maintaining legal separation requirements. BroyhillGOP's PAC Coordination Rules module tracks coordination restrictions, independent expenditure limitations, and committee registration requirements to ensure compliance with FEC coordination prohibitions.</w:t>
      </w:r>
    </w:p>
    <w:p>
      <w:pPr>
        <w:spacing w:after="200"/>
      </w:pPr>
      <w:r>
        <w:t xml:space="preserve">Independent expenditure tracking monitors spending conducted outside direct campaign control but advocating for or against candidates. This feature prevents inadvertent coordination violations and maintains audit trails for regulatory scrutiny.</w:t>
      </w:r>
    </w:p>
    <w:p>
      <w:pPr>
        <w:spacing w:after="200"/>
      </w:pPr>
      <w:r>
        <w:t xml:space="preserve">Committee registration modules maintain authoritative records of all committees operating under a candidate's control, including principal campaign committees, multi-candidate committees, and leadership PACs. BroyhillGOP's registration system tracks committee designation, formation dates, and operational status.</w:t>
      </w:r>
    </w:p>
    <w:p>
      <w:pPr>
        <w:spacing w:after="200"/>
      </w:pPr>
      <w:r>
        <w:t xml:space="preserve">Treasurer tools provide campaign finance officers with administrative capabilities for account management, user permission configuration, and operational delegation. BroyhillGOP implements similar treasurer functions with role-based access control and audit trail logging.</w:t>
      </w:r>
    </w:p>
    <w:p>
      <w:pPr>
        <w:spacing w:after="200"/>
      </w:pPr>
      <w:r>
        <w:t xml:space="preserve">Compliance calendar functionality displays all applicable filing deadlines, reporting period cutoff dates, election dates, and amendment submission windows. BroyhillGOP's Filing Calendar integrates state-specific and federal deadlines, pre/post-election reporting requirements, and amendment deadline windows.</w:t>
      </w:r>
    </w:p>
    <w:p>
      <w:pPr>
        <w:spacing w:after="200"/>
      </w:pPr>
      <w:r>
        <w:t xml:space="preserve">Audit trail logging captures all system actions affecting compliance-critical data. Every contribution, amendment, deletion, and filing action is timestamped and attributed to specific user accounts, enabling forensic reconstruction of compliance decision-making.</w:t>
      </w:r>
    </w:p>
    <w:p>
      <w:pPr>
        <w:spacing w:after="200"/>
      </w:pPr>
      <w:r>
        <w:t xml:space="preserve">Receipt generation produces constituent-facing documentation of contribution acceptance. BroyhillGOP's Receipt Management module creates both electronic and physical receipt formats for donor records and campaign documentation.</w:t>
      </w:r>
    </w:p>
    <w:p>
      <w:pPr>
        <w:spacing w:after="200"/>
      </w:pPr>
      <w:r>
        <w:t xml:space="preserve">Refund tracking monitors the return of contributions to donors, including refund initiation, processing, and confirmation. This module maintains complete audit trails for contribution refunds necessitated by contribution limit violations or legal defects.</w:t>
      </w:r>
    </w:p>
    <w:p>
      <w:pPr>
        <w:spacing w:after="200"/>
      </w:pPr>
      <w:r>
        <w:t xml:space="preserve">In-kind contribution tracking measures the fair market value of non-monetary contributions such as goods, services, or use of property. BroyhillGOP's in-kind contribution module performs fair market value calculations and integrates in-kind contributions into aggregate limit calculations.</w:t>
      </w:r>
    </w:p>
    <w:p>
      <w:pPr>
        <w:spacing w:after="200"/>
      </w:pPr>
      <w:r>
        <w:t xml:space="preserve">Conduit reporting requirements arise when individuals pass contributions through conduits to conceal the true source of funds. BroyhillGOP's conduit reporting module identifies potential conduit transactions and generates required disclosure documentation.</w:t>
      </w:r>
    </w:p>
    <w:p>
      <w:pPr>
        <w:spacing w:after="200"/>
      </w:pPr>
      <w:r>
        <w:t xml:space="preserve">Joint fundraising allocation mechanisms distribute joint fundraising proceeds across participating committees and candidates according to pre-agreed allocation formulas. This feature prevents inadvertent contribution limit violations in multi-candidate fundraising contexts.</w:t>
      </w:r>
    </w:p>
    <w:p>
      <w:pPr>
        <w:spacing w:after="200"/>
      </w:pPr>
      <w:r>
        <w:t xml:space="preserve">Earmark disclosure identifies contributions designated for specific candidates or purposes within multi-candidate committees. BroyhillGOP's earmark disclosure module tracks earmark instructions and ensures proper allocation in financial reporting.</w:t>
      </w:r>
    </w:p>
    <w:p>
      <w:pPr>
        <w:spacing w:after="200"/>
      </w:pPr>
      <w:r>
        <w:t xml:space="preserve">Bundler reporting identifies individuals who collect and forward contributions to campaigns, potentially creating coordination compliance questions. BroyhillGOP's bundler reporting tracks collection activities and generates required FEC bundler disclosures for bundlers exceeding federal thresholds.</w:t>
      </w:r>
    </w:p>
    <w:p>
      <w:pPr>
        <w:spacing w:after="200"/>
      </w:pPr>
      <w:r>
        <w:t xml:space="preserve">48-hour notice requirements mandate rapid reporting of certain large contributions to federal regulators. BroyhillGOP's 48-hour notices module identifies qualifying contributions and generates automated regulatory notifications.</w:t>
      </w:r>
    </w:p>
    <w:p>
      <w:pPr>
        <w:spacing w:after="200"/>
      </w:pPr>
      <w:r>
        <w:t xml:space="preserve">Pre- and post-election reporting creates focused financial disclosures immediately before and after election events. BroyhillGOP implements pre- and post-election report generation with compliance validation for election-specific timelines.</w:t>
      </w:r>
    </w:p>
    <w:p>
      <w:pPr>
        <w:spacing w:after="200"/>
      </w:pPr>
      <w:r>
        <w:t xml:space="preserve">Quarterly, monthly, and semi-annual reporting accommodates diverse federal and state reporting schedules. BroyhillGOP's multi-cadence reporting system generates compliant financial disclosures for all required reporting periods.</w:t>
      </w:r>
    </w:p>
    <w:p>
      <w:pPr>
        <w:spacing w:after="400"/>
      </w:pPr>
      <w:r>
        <w:t xml:space="preserve">Compliance Audit Preparation module aggregates all compliance documentation, generates exception reports, and prepares supporting documentation for regulatory audits or legal discovery.</w:t>
      </w:r>
    </w:p>
    <w:p>
      <w:pPr>
        <w:pStyle w:val="Heading1"/>
        <w:spacing w:before="400" w:after="300"/>
      </w:pPr>
      <w:r>
        <w:t xml:space="preserve">SECTION 2: USER JOURNEY — CANDIDATE COMPLIANCE EXPERIENCE</w:t>
      </w:r>
    </w:p>
    <w:p>
      <w:pPr>
        <w:pStyle w:val="Heading2"/>
        <w:spacing w:after="200"/>
      </w:pPr>
      <w:r>
        <w:t xml:space="preserve">Candidate Login and Dashboard Initialization</w:t>
      </w:r>
    </w:p>
    <w:p>
      <w:pPr>
        <w:spacing w:after="200"/>
      </w:pPr>
      <w:r>
        <w:t xml:space="preserve">The E10 user journey begins when a campaign candidate logs into the BroyhillGOP system for the first time each day. The system immediately initializes the Compliance Dashboard, the primary interface for all campaign finance management activities. The dashboard aggregates real-time compliance information from underlying data systems, presenting a unified view of compliance status and pending actions.</w:t>
      </w:r>
    </w:p>
    <w:p>
      <w:pPr>
        <w:spacing w:after="200"/>
      </w:pPr>
      <w:r>
        <w:t xml:space="preserve">The dashboard immediately displays the next filing deadline in prominent positioning. If a quarterly report is due in five days, the system displays "Form 3 Quarterly Report Due: 5 Days" with high visual emphasis. This immediate presentation of deadlines ensures candidates maintain awareness of compliance obligations without requiring navigation to secondary screens.</w:t>
      </w:r>
    </w:p>
    <w:p>
      <w:pPr>
        <w:spacing w:after="200"/>
      </w:pPr>
      <w:r>
        <w:t xml:space="preserve">Contribution limit warnings appear as the second element of the dashboard. If a candidate has received $400,000 of a $500,000 contribution limit, the system displays "Contribution Limit Status: 80% of $500,000 limit." A yellow warning triangle indicates approaching threshold. If a contributor has reached maximum contribution status, the system displays "Limit Reached: No additional contributions accepted from [Donor Name]."</w:t>
      </w:r>
    </w:p>
    <w:p>
      <w:pPr>
        <w:spacing w:after="200"/>
      </w:pPr>
      <w:r>
        <w:t xml:space="preserve">Incomplete donor records requiring attention appear as a third dashboard element. The system identifies all contributions with missing occupation, employer, or address information, displaying "Incomplete Donor Records: 23 records require attention." Each incomplete record is linked to direct editing interfaces for rapid data completion.</w:t>
      </w:r>
    </w:p>
    <w:p>
      <w:pPr>
        <w:spacing w:after="200"/>
      </w:pPr>
      <w:r>
        <w:t xml:space="preserve">Filing status displays current filing position relative to requirements. The dashboard shows "Current Filing Status: Form 3 Quarterly Report 75% Complete" if a report is in draft stage, or "Filing Current - Last Filing: Form 3 Quarterly (Date Submitted)" if filing obligations are current.</w:t>
      </w:r>
    </w:p>
    <w:p>
      <w:pPr>
        <w:pStyle w:val="Heading2"/>
        <w:spacing w:after="200"/>
      </w:pPr>
      <w:r>
        <w:t xml:space="preserve">Compliance Health Scoring System</w:t>
      </w:r>
    </w:p>
    <w:p>
      <w:pPr>
        <w:spacing w:after="200"/>
      </w:pPr>
      <w:r>
        <w:t xml:space="preserve">The system calculates a composite Compliance Health Score that represents overall compliance position. The score is displayed as both a numerical value and a color-coded indicator. Green scores (80-100) indicate excellent compliance with no outstanding issues. Yellow scores (60-79) indicate acceptable compliance with minor deficiencies requiring attention within normal business cycles. Red scores (0-59) indicate serious compliance deficiencies requiring immediate remediation.</w:t>
      </w:r>
    </w:p>
    <w:p>
      <w:pPr>
        <w:spacing w:after="200"/>
      </w:pPr>
      <w:r>
        <w:t xml:space="preserve">The green compliance indicator represents a candidate who has timely filed all required reports, collected complete donor information for all contributions, maintained compliance with contribution limits, and verified donor eligibility. This candidate can focus on campaign operations with confidence that compliance infrastructure is functioning properly.</w:t>
      </w:r>
    </w:p>
    <w:p>
      <w:pPr>
        <w:spacing w:after="200"/>
      </w:pPr>
      <w:r>
        <w:t xml:space="preserve">The yellow compliance indicator represents a candidate with acceptable baseline compliance but one or more items requiring attention. Common yellow-status scenarios include incomplete donor records from recent contributions, an approaching filing deadline (within 7 days), or a contribution aggregate nearing statutory limits.</w:t>
      </w:r>
    </w:p>
    <w:p>
      <w:pPr>
        <w:spacing w:after="200"/>
      </w:pPr>
      <w:r>
        <w:t xml:space="preserve">The red compliance indicator represents a candidate with critical compliance deficiencies. Red-status scenarios include overdue filings, accepted contributions from donors with incomplete or invalid information, contributions exceeding statutory limits, or failed donor eligibility verification.</w:t>
      </w:r>
    </w:p>
    <w:p>
      <w:pPr>
        <w:pStyle w:val="Heading2"/>
        <w:spacing w:after="200"/>
      </w:pPr>
      <w:r>
        <w:t xml:space="preserve">Dashboard Workflow Patterns</w:t>
      </w:r>
    </w:p>
    <w:p>
      <w:pPr>
        <w:spacing w:after="200"/>
      </w:pPr>
      <w:r>
        <w:t xml:space="preserve">When the dashboard displays yellow warning status, candidates typically navigate to the Contribution Compliance section to review limit status and determine whether additional fundraising is feasible. The system displays aggregate contribution amounts by donor and remaining contribution capacity.</w:t>
      </w:r>
    </w:p>
    <w:p>
      <w:pPr>
        <w:spacing w:after="200"/>
      </w:pPr>
      <w:r>
        <w:t xml:space="preserve">When incomplete donor records require attention, candidates navigate to the Donor Verification section, where missing fields are highlighted in red. The system enables bulk editing workflows for rapid data completion.</w:t>
      </w:r>
    </w:p>
    <w:p>
      <w:pPr>
        <w:spacing w:after="200"/>
      </w:pPr>
      <w:r>
        <w:t xml:space="preserve">When filing deadlines approach, candidates navigate to the Filing Center to review the draft report, validate line items, and submit the filing. The system automatically calculates report line items and performs validation before submission.</w:t>
      </w:r>
    </w:p>
    <w:p>
      <w:pPr>
        <w:pStyle w:val="Heading2"/>
        <w:spacing w:after="200"/>
      </w:pPr>
      <w:r>
        <w:t xml:space="preserve">Dashboard Refresh and Real-Time Updates</w:t>
      </w:r>
    </w:p>
    <w:p>
      <w:pPr>
        <w:spacing w:after="200"/>
      </w:pPr>
      <w:r>
        <w:t xml:space="preserve">The dashboard updates in real-time as new contributions are recorded. When a fundraiser enters a new contribution into the system, the compliance dashboard immediately recalculates the Compliance Health Score and updates contribution limit indicators. This real-time feedback enables immediate detection of compliance issues.</w:t>
      </w:r>
    </w:p>
    <w:p>
      <w:pPr>
        <w:spacing w:after="200"/>
      </w:pPr>
      <w:r>
        <w:t xml:space="preserve">The dashboard recalculates filing deadlines based on system clock and election schedule. As filing deadlines approach, the system automatically increases visual emphasis, transitioning from neutral black to yellow to red as deadlines approach.</w:t>
      </w:r>
    </w:p>
    <w:p>
      <w:pPr>
        <w:spacing w:after="400"/>
      </w:pPr>
      <w:r>
        <w:t xml:space="preserve">The dashboard maintains a persistent notification queue for compliance alerts. If a contribution is flagged for exceeding limits or a foreign national screening fails, the system adds a notification to the queue and displays a notification badge on the dashboard.</w:t>
      </w:r>
    </w:p>
    <w:p>
      <w:pPr>
        <w:pStyle w:val="Heading1"/>
        <w:spacing w:before="400" w:after="300"/>
      </w:pPr>
      <w:r>
        <w:t xml:space="preserve">SECTION 3: COMMAND CENTER — OPERATIONAL CONTROL PANELS</w:t>
      </w:r>
    </w:p>
    <w:p>
      <w:pPr>
        <w:spacing w:after="300"/>
      </w:pPr>
      <w:r>
        <w:t xml:space="preserve">The E10 Command Center provides five operational control panels designed for white and dark theme compatibility. Each panel aggregates related functionality and presents operational status in unified layouts.</w:t>
      </w:r>
    </w:p>
    <w:p>
      <w:pPr>
        <w:pStyle w:val="Heading2"/>
        <w:spacing w:after="200"/>
      </w:pPr>
      <w:r>
        <w:t xml:space="preserve">Filing Center Control Panel</w:t>
      </w:r>
    </w:p>
    <w:p>
      <w:pPr>
        <w:spacing w:after="200"/>
      </w:pPr>
      <w:r>
        <w:t xml:space="preserve">The Filing Center consolidates all filing-related functionality into a single operational dashboard. This panel displays filing status, enables draft report creation, manages filing submissions, maintains filing history, and facilitates amendment submissions.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c>
          <w:tcPr>
            <w:shd w:fill="FFFFFF" w:val="clear"/>
            <w:vAlign w:val="top"/>
          </w:tcPr>
          <w:p>
            <w:pPr>
              <w:spacing w:after="100"/>
            </w:pPr>
            <w:r>
              <w:t xml:space="preserve">Next Filing Due</w:t>
            </w:r>
          </w:p>
        </w:tc>
        <w:tc>
          <w:tcPr>
            <w:shd w:fill="FFFFFF" w:val="clear"/>
            <w:vAlign w:val="top"/>
          </w:tcPr>
          <w:p>
            <w:pPr>
              <w:spacing w:after="100"/>
            </w:pPr>
            <w:r>
              <w:t xml:space="preserve">Date/Time</w:t>
            </w:r>
          </w:p>
        </w:tc>
        <w:tc>
          <w:tcPr>
            <w:shd w:fill="FFFFFF" w:val="clear"/>
            <w:vAlign w:val="top"/>
          </w:tcPr>
          <w:p>
            <w:pPr>
              <w:spacing w:after="100"/>
            </w:pPr>
            <w:r>
              <w:t xml:space="preserve">System Clock</w:t>
            </w:r>
          </w:p>
        </w:tc>
        <w:tc>
          <w:tcPr>
            <w:shd w:fill="FFFFFF" w:val="clear"/>
            <w:vAlign w:val="top"/>
          </w:tcPr>
          <w:p>
            <w:pPr>
              <w:spacing w:after="100"/>
            </w:pPr>
            <w:r>
              <w:t xml:space="preserve">Displays next statutorily required filing deadline with days remaining and mandatory field completion percentage</w:t>
            </w:r>
          </w:p>
        </w:tc>
      </w:tr>
      <w:tr>
        <w:tc>
          <w:tcPr>
            <w:shd w:fill="FFFFFF" w:val="clear"/>
            <w:vAlign w:val="top"/>
          </w:tcPr>
          <w:p>
            <w:pPr>
              <w:spacing w:after="100"/>
            </w:pPr>
            <w:r>
              <w:t xml:space="preserve">Draft Report</w:t>
            </w:r>
          </w:p>
        </w:tc>
        <w:tc>
          <w:tcPr>
            <w:shd w:fill="FFFFFF" w:val="clear"/>
            <w:vAlign w:val="top"/>
          </w:tcPr>
          <w:p>
            <w:pPr>
              <w:spacing w:after="100"/>
            </w:pPr>
            <w:r>
              <w:t xml:space="preserve">Status/Link</w:t>
            </w:r>
          </w:p>
        </w:tc>
        <w:tc>
          <w:tcPr>
            <w:shd w:fill="FFFFFF" w:val="clear"/>
            <w:vAlign w:val="top"/>
          </w:tcPr>
          <w:p>
            <w:pPr>
              <w:spacing w:after="100"/>
            </w:pPr>
            <w:r>
              <w:t xml:space="preserve">Filing Center</w:t>
            </w:r>
          </w:p>
        </w:tc>
        <w:tc>
          <w:tcPr>
            <w:shd w:fill="FFFFFF" w:val="clear"/>
            <w:vAlign w:val="top"/>
          </w:tcPr>
          <w:p>
            <w:pPr>
              <w:spacing w:after="100"/>
            </w:pPr>
            <w:r>
              <w:t xml:space="preserve">Shows current draft report status; enables creation if no draft exists; links to report editor for draft modification</w:t>
            </w:r>
          </w:p>
        </w:tc>
      </w:tr>
      <w:tr>
        <w:tc>
          <w:tcPr>
            <w:shd w:fill="FFFFFF" w:val="clear"/>
            <w:vAlign w:val="top"/>
          </w:tcPr>
          <w:p>
            <w:pPr>
              <w:spacing w:after="100"/>
            </w:pPr>
            <w:r>
              <w:t xml:space="preserve">Submit Filing</w:t>
            </w:r>
          </w:p>
        </w:tc>
        <w:tc>
          <w:tcPr>
            <w:shd w:fill="FFFFFF" w:val="clear"/>
            <w:vAlign w:val="top"/>
          </w:tcPr>
          <w:p>
            <w:pPr>
              <w:spacing w:after="100"/>
            </w:pPr>
            <w:r>
              <w:t xml:space="preserve">Button/Action</w:t>
            </w:r>
          </w:p>
        </w:tc>
        <w:tc>
          <w:tcPr>
            <w:shd w:fill="FFFFFF" w:val="clear"/>
            <w:vAlign w:val="top"/>
          </w:tcPr>
          <w:p>
            <w:pPr>
              <w:spacing w:after="100"/>
            </w:pPr>
            <w:r>
              <w:t xml:space="preserve">User Action</w:t>
            </w:r>
          </w:p>
        </w:tc>
        <w:tc>
          <w:tcPr>
            <w:shd w:fill="FFFFFF" w:val="clear"/>
            <w:vAlign w:val="top"/>
          </w:tcPr>
          <w:p>
            <w:pPr>
              <w:spacing w:after="100"/>
            </w:pPr>
            <w:r>
              <w:t xml:space="preserve">Submits draft report to regulatory authority; requires validation confirmation; displays submission confirmation and regulatory reference number</w:t>
            </w:r>
          </w:p>
        </w:tc>
      </w:tr>
      <w:tr>
        <w:tc>
          <w:tcPr>
            <w:shd w:fill="FFFFFF" w:val="clear"/>
            <w:vAlign w:val="top"/>
          </w:tcPr>
          <w:p>
            <w:pPr>
              <w:spacing w:after="100"/>
            </w:pPr>
            <w:r>
              <w:t xml:space="preserve">Filing History</w:t>
            </w:r>
          </w:p>
        </w:tc>
        <w:tc>
          <w:tcPr>
            <w:shd w:fill="FFFFFF" w:val="clear"/>
            <w:vAlign w:val="top"/>
          </w:tcPr>
          <w:p>
            <w:pPr>
              <w:spacing w:after="100"/>
            </w:pPr>
            <w:r>
              <w:t xml:space="preserve">Table/Search</w:t>
            </w:r>
          </w:p>
        </w:tc>
        <w:tc>
          <w:tcPr>
            <w:shd w:fill="FFFFFF" w:val="clear"/>
            <w:vAlign w:val="top"/>
          </w:tcPr>
          <w:p>
            <w:pPr>
              <w:spacing w:after="100"/>
            </w:pPr>
            <w:r>
              <w:t xml:space="preserve">Database</w:t>
            </w:r>
          </w:p>
        </w:tc>
        <w:tc>
          <w:tcPr>
            <w:shd w:fill="FFFFFF" w:val="clear"/>
            <w:vAlign w:val="top"/>
          </w:tcPr>
          <w:p>
            <w:pPr>
              <w:spacing w:after="100"/>
            </w:pPr>
            <w:r>
              <w:t xml:space="preserve">Lists all previously submitted filings with submission dates, report types, and regulatory processing status</w:t>
            </w:r>
          </w:p>
        </w:tc>
      </w:tr>
      <w:tr>
        <w:tc>
          <w:tcPr>
            <w:shd w:fill="FFFFFF" w:val="clear"/>
            <w:vAlign w:val="top"/>
          </w:tcPr>
          <w:p>
            <w:pPr>
              <w:spacing w:after="100"/>
            </w:pPr>
            <w:r>
              <w:t xml:space="preserve">Amendment</w:t>
            </w:r>
          </w:p>
        </w:tc>
        <w:tc>
          <w:tcPr>
            <w:shd w:fill="FFFFFF" w:val="clear"/>
            <w:vAlign w:val="top"/>
          </w:tcPr>
          <w:p>
            <w:pPr>
              <w:spacing w:after="100"/>
            </w:pPr>
            <w:r>
              <w:t xml:space="preserve">Button/Action</w:t>
            </w:r>
          </w:p>
        </w:tc>
        <w:tc>
          <w:tcPr>
            <w:shd w:fill="FFFFFF" w:val="clear"/>
            <w:vAlign w:val="top"/>
          </w:tcPr>
          <w:p>
            <w:pPr>
              <w:spacing w:after="100"/>
            </w:pPr>
            <w:r>
              <w:t xml:space="preserve">User Action</w:t>
            </w:r>
          </w:p>
        </w:tc>
        <w:tc>
          <w:tcPr>
            <w:shd w:fill="FFFFFF" w:val="clear"/>
            <w:vAlign w:val="top"/>
          </w:tcPr>
          <w:p>
            <w:pPr>
              <w:spacing w:after="100"/>
            </w:pPr>
            <w:r>
              <w:t xml:space="preserve">Creates amended version of previously submitted filing; enables targeted corrections of specific line items; manages amendment workflows</w:t>
            </w:r>
          </w:p>
        </w:tc>
      </w:tr>
    </w:tbl>
    <w:p>
      <w:r>
        <w:t xml:space="preserve">
</w:t>
      </w:r>
    </w:p>
    <w:p>
      <w:pPr>
        <w:pStyle w:val="Heading3"/>
        <w:spacing w:after="200"/>
      </w:pPr>
      <w:r>
        <w:t xml:space="preserve">Filing Center Operational Workflows</w:t>
      </w:r>
    </w:p>
    <w:p>
      <w:pPr>
        <w:spacing w:after="200"/>
      </w:pPr>
      <w:r>
        <w:t xml:space="preserve">When candidates need to file a quarterly report, they access the Filing Center and select "Create New Draft Report." The system presents a template for the applicable report type (Form 3 for federal, NC Form for state). The system pre-populates line items from the contribution ledger, enabling candidates to review calculated totals before submission.</w:t>
      </w:r>
    </w:p>
    <w:p>
      <w:pPr>
        <w:spacing w:after="200"/>
      </w:pPr>
      <w:r>
        <w:t xml:space="preserve">If candidates discover errors after filing, the Amendment action enables correction filings. The system displays the previously submitted report, highlights fields that differ from the current database state, and enables selective correction of identified errors.</w:t>
      </w:r>
    </w:p>
    <w:p>
      <w:pPr>
        <w:spacing w:after="300"/>
      </w:pPr>
      <w:r>
        <w:t xml:space="preserve">Filing History provides complete filing audit trail. Candidates can review all submissions, compare versions of amended filings, and download historical submission confirmations.</w:t>
      </w:r>
    </w:p>
    <w:p>
      <w:pPr>
        <w:pStyle w:val="Heading2"/>
        <w:spacing w:after="200"/>
      </w:pPr>
      <w:r>
        <w:t xml:space="preserve">Contribution Compliance Control Panel</w:t>
      </w:r>
    </w:p>
    <w:p>
      <w:pPr>
        <w:spacing w:after="200"/>
      </w:pPr>
      <w:r>
        <w:t xml:space="preserve">The Contribution Compliance panel manages all aspects of contribution acceptance and contribution limit enforcement. This panel displays limit tracking, aggregate monitoring, over-limit alerting, refund queue management, and excessive contribution resolution workflows.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c>
          <w:tcPr>
            <w:shd w:fill="FFFFFF" w:val="clear"/>
            <w:vAlign w:val="top"/>
          </w:tcPr>
          <w:p>
            <w:pPr>
              <w:spacing w:after="100"/>
            </w:pPr>
            <w:r>
              <w:t xml:space="preserve">Limit Tracker</w:t>
            </w:r>
          </w:p>
        </w:tc>
        <w:tc>
          <w:tcPr>
            <w:shd w:fill="FFFFFF" w:val="clear"/>
            <w:vAlign w:val="top"/>
          </w:tcPr>
          <w:p>
            <w:pPr>
              <w:spacing w:after="100"/>
            </w:pPr>
            <w:r>
              <w:t xml:space="preserve">Visual/Numeric</w:t>
            </w:r>
          </w:p>
        </w:tc>
        <w:tc>
          <w:tcPr>
            <w:shd w:fill="FFFFFF" w:val="clear"/>
            <w:vAlign w:val="top"/>
          </w:tcPr>
          <w:p>
            <w:pPr>
              <w:spacing w:after="100"/>
            </w:pPr>
            <w:r>
              <w:t xml:space="preserve">Database</w:t>
            </w:r>
          </w:p>
        </w:tc>
        <w:tc>
          <w:tcPr>
            <w:shd w:fill="FFFFFF" w:val="clear"/>
            <w:vAlign w:val="top"/>
          </w:tcPr>
          <w:p>
            <w:pPr>
              <w:spacing w:after="100"/>
            </w:pPr>
            <w:r>
              <w:t xml:space="preserve">Displays remaining contribution capacity as percentage of maximum limit; color-codes status green/yellow/red based on proximity to limit</w:t>
            </w:r>
          </w:p>
        </w:tc>
      </w:tr>
      <w:tr>
        <w:tc>
          <w:tcPr>
            <w:shd w:fill="FFFFFF" w:val="clear"/>
            <w:vAlign w:val="top"/>
          </w:tcPr>
          <w:p>
            <w:pPr>
              <w:spacing w:after="100"/>
            </w:pPr>
            <w:r>
              <w:t xml:space="preserve">Aggregate Monitor</w:t>
            </w:r>
          </w:p>
        </w:tc>
        <w:tc>
          <w:tcPr>
            <w:shd w:fill="FFFFFF" w:val="clear"/>
            <w:vAlign w:val="top"/>
          </w:tcPr>
          <w:p>
            <w:pPr>
              <w:spacing w:after="100"/>
            </w:pPr>
            <w:r>
              <w:t xml:space="preserve">Table/Search</w:t>
            </w:r>
          </w:p>
        </w:tc>
        <w:tc>
          <w:tcPr>
            <w:shd w:fill="FFFFFF" w:val="clear"/>
            <w:vAlign w:val="top"/>
          </w:tcPr>
          <w:p>
            <w:pPr>
              <w:spacing w:after="100"/>
            </w:pPr>
            <w:r>
              <w:t xml:space="preserve">Database</w:t>
            </w:r>
          </w:p>
        </w:tc>
        <w:tc>
          <w:tcPr>
            <w:shd w:fill="FFFFFF" w:val="clear"/>
            <w:vAlign w:val="top"/>
          </w:tcPr>
          <w:p>
            <w:pPr>
              <w:spacing w:after="100"/>
            </w:pPr>
            <w:r>
              <w:t xml:space="preserve">Lists all contributions by donor with cumulative aggregate totals and days remaining in aggregate period</w:t>
            </w:r>
          </w:p>
        </w:tc>
      </w:tr>
      <w:tr>
        <w:tc>
          <w:tcPr>
            <w:shd w:fill="FFFFFF" w:val="clear"/>
            <w:vAlign w:val="top"/>
          </w:tcPr>
          <w:p>
            <w:pPr>
              <w:spacing w:after="100"/>
            </w:pPr>
            <w:r>
              <w:t xml:space="preserve">Over-Limit Alerts</w:t>
            </w:r>
          </w:p>
        </w:tc>
        <w:tc>
          <w:tcPr>
            <w:shd w:fill="FFFFFF" w:val="clear"/>
            <w:vAlign w:val="top"/>
          </w:tcPr>
          <w:p>
            <w:pPr>
              <w:spacing w:after="100"/>
            </w:pPr>
            <w:r>
              <w:t xml:space="preserve">List/Status</w:t>
            </w:r>
          </w:p>
        </w:tc>
        <w:tc>
          <w:tcPr>
            <w:shd w:fill="FFFFFF" w:val="clear"/>
            <w:vAlign w:val="top"/>
          </w:tcPr>
          <w:p>
            <w:pPr>
              <w:spacing w:after="100"/>
            </w:pPr>
            <w:r>
              <w:t xml:space="preserve">System</w:t>
            </w:r>
          </w:p>
        </w:tc>
        <w:tc>
          <w:tcPr>
            <w:shd w:fill="FFFFFF" w:val="clear"/>
            <w:vAlign w:val="top"/>
          </w:tcPr>
          <w:p>
            <w:pPr>
              <w:spacing w:after="100"/>
            </w:pPr>
            <w:r>
              <w:t xml:space="preserve">Displays all contributions exceeding applicable limits; identifies contributor information and excess amount</w:t>
            </w:r>
          </w:p>
        </w:tc>
      </w:tr>
      <w:tr>
        <w:tc>
          <w:tcPr>
            <w:shd w:fill="FFFFFF" w:val="clear"/>
            <w:vAlign w:val="top"/>
          </w:tcPr>
          <w:p>
            <w:pPr>
              <w:spacing w:after="100"/>
            </w:pPr>
            <w:r>
              <w:t xml:space="preserve">Refund Queue</w:t>
            </w:r>
          </w:p>
        </w:tc>
        <w:tc>
          <w:tcPr>
            <w:shd w:fill="FFFFFF" w:val="clear"/>
            <w:vAlign w:val="top"/>
          </w:tcPr>
          <w:p>
            <w:pPr>
              <w:spacing w:after="100"/>
            </w:pPr>
            <w:r>
              <w:t xml:space="preserve">List/Action</w:t>
            </w:r>
          </w:p>
        </w:tc>
        <w:tc>
          <w:tcPr>
            <w:shd w:fill="FFFFFF" w:val="clear"/>
            <w:vAlign w:val="top"/>
          </w:tcPr>
          <w:p>
            <w:pPr>
              <w:spacing w:after="100"/>
            </w:pPr>
            <w:r>
              <w:t xml:space="preserve">Database</w:t>
            </w:r>
          </w:p>
        </w:tc>
        <w:tc>
          <w:tcPr>
            <w:shd w:fill="FFFFFF" w:val="clear"/>
            <w:vAlign w:val="top"/>
          </w:tcPr>
          <w:p>
            <w:pPr>
              <w:spacing w:after="100"/>
            </w:pPr>
            <w:r>
              <w:t xml:space="preserve">Shows all contributions flagged for refund with refund reason, refund amount, and processing status</w:t>
            </w:r>
          </w:p>
        </w:tc>
      </w:tr>
      <w:tr>
        <w:tc>
          <w:tcPr>
            <w:shd w:fill="FFFFFF" w:val="clear"/>
            <w:vAlign w:val="top"/>
          </w:tcPr>
          <w:p>
            <w:pPr>
              <w:spacing w:after="100"/>
            </w:pPr>
            <w:r>
              <w:t xml:space="preserve">Excessive Contribution Resolution</w:t>
            </w:r>
          </w:p>
        </w:tc>
        <w:tc>
          <w:tcPr>
            <w:shd w:fill="FFFFFF" w:val="clear"/>
            <w:vAlign w:val="top"/>
          </w:tcPr>
          <w:p>
            <w:pPr>
              <w:spacing w:after="100"/>
            </w:pPr>
            <w:r>
              <w:t xml:space="preserve">Workflow/Decision</w:t>
            </w:r>
          </w:p>
        </w:tc>
        <w:tc>
          <w:tcPr>
            <w:shd w:fill="FFFFFF" w:val="clear"/>
            <w:vAlign w:val="top"/>
          </w:tcPr>
          <w:p>
            <w:pPr>
              <w:spacing w:after="100"/>
            </w:pPr>
            <w:r>
              <w:t xml:space="preserve">User Action</w:t>
            </w:r>
          </w:p>
        </w:tc>
        <w:tc>
          <w:tcPr>
            <w:shd w:fill="FFFFFF" w:val="clear"/>
            <w:vAlign w:val="top"/>
          </w:tcPr>
          <w:p>
            <w:pPr>
              <w:spacing w:after="100"/>
            </w:pPr>
            <w:r>
              <w:t xml:space="preserve">Enables selection of refund strategy (full refund, partial refund to limit, or limit-violation acknowledgment)</w:t>
            </w:r>
          </w:p>
        </w:tc>
      </w:tr>
    </w:tbl>
    <w:p>
      <w:r>
        <w:t xml:space="preserve">
</w:t>
      </w:r>
    </w:p>
    <w:p>
      <w:pPr>
        <w:pStyle w:val="Heading3"/>
        <w:spacing w:after="200"/>
      </w:pPr>
      <w:r>
        <w:t xml:space="preserve">Contribution Compliance Operational Workflows</w:t>
      </w:r>
    </w:p>
    <w:p>
      <w:pPr>
        <w:spacing w:after="200"/>
      </w:pPr>
      <w:r>
        <w:t xml:space="preserve">The Limit Tracker displays a visual bar chart of contribution capacity. A candidate with a $500,000 limit who has received $400,000 in contributions sees a bar filled to 80% with remaining capacity labeled as "$100,000 available." As contributions approach the limit, the bar transitions from green to yellow to red, providing immediate visual feedback.</w:t>
      </w:r>
    </w:p>
    <w:p>
      <w:pPr>
        <w:spacing w:after="200"/>
      </w:pPr>
      <w:r>
        <w:t xml:space="preserve">The Aggregate Monitor lists all donors alphabetically with cumulative contribution amounts and days remaining in the aggregate period. Candidates can identify donors approaching their individual limits and adjust fundraising strategies accordingly.</w:t>
      </w:r>
    </w:p>
    <w:p>
      <w:pPr>
        <w:spacing w:after="200"/>
      </w:pPr>
      <w:r>
        <w:t xml:space="preserve">When a contribution exceeds limits, the system automatically adds it to the Over-Limit Alerts list. The Over-Limit Alerts panel displays the excessive contribution with the excess amount highlighted. Candidates can immediately initiate refund processing through the Refund Queue.</w:t>
      </w:r>
    </w:p>
    <w:p>
      <w:pPr>
        <w:spacing w:after="200"/>
      </w:pPr>
      <w:r>
        <w:t xml:space="preserve">The Refund Queue displays all contributions flagged for refund. Each refund entry shows the original contribution amount, identified excess amount, refund reason, and current processing status. Once refunds are processed, the system updates aggregate calculations to reflect the corrected contribution amounts.</w:t>
      </w:r>
    </w:p>
    <w:p>
      <w:pPr>
        <w:spacing w:after="300"/>
      </w:pPr>
      <w:r>
        <w:t xml:space="preserve">Excessive Contribution Resolution enables strategic decision-making when contributions exceed limits. Candidates can select from full refund (return entire contribution), partial refund (return excess amount only), or limit-violation acknowledgment (if applicable in jurisdiction).</w:t>
      </w:r>
    </w:p>
    <w:p>
      <w:pPr>
        <w:pStyle w:val="Heading2"/>
        <w:spacing w:after="200"/>
      </w:pPr>
      <w:r>
        <w:t xml:space="preserve">Donor Verification Control Panel</w:t>
      </w:r>
    </w:p>
    <w:p>
      <w:pPr>
        <w:spacing w:after="200"/>
      </w:pPr>
      <w:r>
        <w:t xml:space="preserve">The Donor Verification panel manages donor eligibility verification and completion of donor information records. This panel identifies missing occupation and employer information, flags incomplete donor records, screens for foreign nationals, and identifies minor donors.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c>
          <w:tcPr>
            <w:shd w:fill="FFFFFF" w:val="clear"/>
            <w:vAlign w:val="top"/>
          </w:tcPr>
          <w:p>
            <w:pPr>
              <w:spacing w:after="100"/>
            </w:pPr>
            <w:r>
              <w:t xml:space="preserve">Missing Occupation/Employer</w:t>
            </w:r>
          </w:p>
        </w:tc>
        <w:tc>
          <w:tcPr>
            <w:shd w:fill="FFFFFF" w:val="clear"/>
            <w:vAlign w:val="top"/>
          </w:tcPr>
          <w:p>
            <w:pPr>
              <w:spacing w:after="100"/>
            </w:pPr>
            <w:r>
              <w:t xml:space="preserve">List/Link</w:t>
            </w:r>
          </w:p>
        </w:tc>
        <w:tc>
          <w:tcPr>
            <w:shd w:fill="FFFFFF" w:val="clear"/>
            <w:vAlign w:val="top"/>
          </w:tcPr>
          <w:p>
            <w:pPr>
              <w:spacing w:after="100"/>
            </w:pPr>
            <w:r>
              <w:t xml:space="preserve">Database</w:t>
            </w:r>
          </w:p>
        </w:tc>
        <w:tc>
          <w:tcPr>
            <w:shd w:fill="FFFFFF" w:val="clear"/>
            <w:vAlign w:val="top"/>
          </w:tcPr>
          <w:p>
            <w:pPr>
              <w:spacing w:after="100"/>
            </w:pPr>
            <w:r>
              <w:t xml:space="preserve">Lists all contributions with missing occupation and employer fields; links to rapid-entry editor for data completion</w:t>
            </w:r>
          </w:p>
        </w:tc>
      </w:tr>
      <w:tr>
        <w:tc>
          <w:tcPr>
            <w:shd w:fill="FFFFFF" w:val="clear"/>
            <w:vAlign w:val="top"/>
          </w:tcPr>
          <w:p>
            <w:pPr>
              <w:spacing w:after="100"/>
            </w:pPr>
            <w:r>
              <w:t xml:space="preserve">Incomplete Records</w:t>
            </w:r>
          </w:p>
        </w:tc>
        <w:tc>
          <w:tcPr>
            <w:shd w:fill="FFFFFF" w:val="clear"/>
            <w:vAlign w:val="top"/>
          </w:tcPr>
          <w:p>
            <w:pPr>
              <w:spacing w:after="100"/>
            </w:pPr>
            <w:r>
              <w:t xml:space="preserve">List/Status</w:t>
            </w:r>
          </w:p>
        </w:tc>
        <w:tc>
          <w:tcPr>
            <w:shd w:fill="FFFFFF" w:val="clear"/>
            <w:vAlign w:val="top"/>
          </w:tcPr>
          <w:p>
            <w:pPr>
              <w:spacing w:after="100"/>
            </w:pPr>
            <w:r>
              <w:t xml:space="preserve">Database</w:t>
            </w:r>
          </w:p>
        </w:tc>
        <w:tc>
          <w:tcPr>
            <w:shd w:fill="FFFFFF" w:val="clear"/>
            <w:vAlign w:val="top"/>
          </w:tcPr>
          <w:p>
            <w:pPr>
              <w:spacing w:after="100"/>
            </w:pPr>
            <w:r>
              <w:t xml:space="preserve">Displays all contributions with any missing mandatory fields (occupation, employer, address, city, state, ZIP)</w:t>
            </w:r>
          </w:p>
        </w:tc>
      </w:tr>
      <w:tr>
        <w:tc>
          <w:tcPr>
            <w:shd w:fill="FFFFFF" w:val="clear"/>
            <w:vAlign w:val="top"/>
          </w:tcPr>
          <w:p>
            <w:pPr>
              <w:spacing w:after="100"/>
            </w:pPr>
            <w:r>
              <w:t xml:space="preserve">Foreign National Screen</w:t>
            </w:r>
          </w:p>
        </w:tc>
        <w:tc>
          <w:tcPr>
            <w:shd w:fill="FFFFFF" w:val="clear"/>
            <w:vAlign w:val="top"/>
          </w:tcPr>
          <w:p>
            <w:pPr>
              <w:spacing w:after="100"/>
            </w:pPr>
            <w:r>
              <w:t xml:space="preserve">Status/List</w:t>
            </w:r>
          </w:p>
        </w:tc>
        <w:tc>
          <w:tcPr>
            <w:shd w:fill="FFFFFF" w:val="clear"/>
            <w:vAlign w:val="top"/>
          </w:tcPr>
          <w:p>
            <w:pPr>
              <w:spacing w:after="100"/>
            </w:pPr>
            <w:r>
              <w:t xml:space="preserve">System</w:t>
            </w:r>
          </w:p>
        </w:tc>
        <w:tc>
          <w:tcPr>
            <w:shd w:fill="FFFFFF" w:val="clear"/>
            <w:vAlign w:val="top"/>
          </w:tcPr>
          <w:p>
            <w:pPr>
              <w:spacing w:after="100"/>
            </w:pPr>
            <w:r>
              <w:t xml:space="preserve">Displays screening results for all contributions; identifies contributions requiring manual verification</w:t>
            </w:r>
          </w:p>
        </w:tc>
      </w:tr>
      <w:tr>
        <w:tc>
          <w:tcPr>
            <w:shd w:fill="FFFFFF" w:val="clear"/>
            <w:vAlign w:val="top"/>
          </w:tcPr>
          <w:p>
            <w:pPr>
              <w:spacing w:after="100"/>
            </w:pPr>
            <w:r>
              <w:t xml:space="preserve">Minor Donor Screen</w:t>
            </w:r>
          </w:p>
        </w:tc>
        <w:tc>
          <w:tcPr>
            <w:shd w:fill="FFFFFF" w:val="clear"/>
            <w:vAlign w:val="top"/>
          </w:tcPr>
          <w:p>
            <w:pPr>
              <w:spacing w:after="100"/>
            </w:pPr>
            <w:r>
              <w:t xml:space="preserve">Status/List</w:t>
            </w:r>
          </w:p>
        </w:tc>
        <w:tc>
          <w:tcPr>
            <w:shd w:fill="FFFFFF" w:val="clear"/>
            <w:vAlign w:val="top"/>
          </w:tcPr>
          <w:p>
            <w:pPr>
              <w:spacing w:after="100"/>
            </w:pPr>
            <w:r>
              <w:t xml:space="preserve">System</w:t>
            </w:r>
          </w:p>
        </w:tc>
        <w:tc>
          <w:tcPr>
            <w:shd w:fill="FFFFFF" w:val="clear"/>
            <w:vAlign w:val="top"/>
          </w:tcPr>
          <w:p>
            <w:pPr>
              <w:spacing w:after="100"/>
            </w:pPr>
            <w:r>
              <w:t xml:space="preserve">Identifies potential minor donors and requires manual age verification before contribution acceptance</w:t>
            </w:r>
          </w:p>
        </w:tc>
      </w:tr>
    </w:tbl>
    <w:p>
      <w:r>
        <w:t xml:space="preserve">
</w:t>
      </w:r>
    </w:p>
    <w:p>
      <w:pPr>
        <w:pStyle w:val="Heading3"/>
        <w:spacing w:after="200"/>
      </w:pPr>
      <w:r>
        <w:t xml:space="preserve">Donor Verification Operational Workflows</w:t>
      </w:r>
    </w:p>
    <w:p>
      <w:pPr>
        <w:spacing w:after="200"/>
      </w:pPr>
      <w:r>
        <w:t xml:space="preserve">The Missing Occupation/Employer section displays a list of recent contributions without occupation or employer information. Each list entry provides a direct link to the contribution record editor. The candidate or finance administrator can rapidly complete missing fields.</w:t>
      </w:r>
    </w:p>
    <w:p>
      <w:pPr>
        <w:spacing w:after="200"/>
      </w:pPr>
      <w:r>
        <w:t xml:space="preserve">The Incomplete Records section flags all contributions with any missing mandatory field. This comprehensive approach ensures compliance with all donor identification requirements.</w:t>
      </w:r>
    </w:p>
    <w:p>
      <w:pPr>
        <w:spacing w:after="200"/>
      </w:pPr>
      <w:r>
        <w:t xml:space="preserve">The Foreign National Screen automatically validates all contributions against federal and state requirements. Contributions from individuals with foreign citizenship are flagged for manual review. The system displays screening results and enables manual override if verification is completed.</w:t>
      </w:r>
    </w:p>
    <w:p>
      <w:pPr>
        <w:spacing w:after="300"/>
      </w:pPr>
      <w:r>
        <w:t xml:space="preserve">The Minor Donor Screen identifies contributions from individuals under age 18. The system requires campaigns to obtain parental consent documentation or refund contributions from minor donors.</w:t>
      </w:r>
    </w:p>
    <w:p>
      <w:pPr>
        <w:pStyle w:val="Heading2"/>
        <w:spacing w:after="200"/>
      </w:pPr>
      <w:r>
        <w:t xml:space="preserve">Disclaimer Tools Control Panel</w:t>
      </w:r>
    </w:p>
    <w:p>
      <w:pPr>
        <w:spacing w:after="200"/>
      </w:pPr>
      <w:r>
        <w:t xml:space="preserve">The Disclaimer Tools panel automates the generation and management of federally mandated campaign disclaimers. The panel provides templates for email disclaimers, print disclaimers, digital advertisement disclaimers, social media disclaimers, and website disclaimers.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c>
          <w:tcPr>
            <w:shd w:fill="FFFFFF" w:val="clear"/>
            <w:vAlign w:val="top"/>
          </w:tcPr>
          <w:p>
            <w:pPr>
              <w:spacing w:after="100"/>
            </w:pPr>
            <w:r>
              <w:t xml:space="preserve">Email Disclaimer</w:t>
            </w:r>
          </w:p>
        </w:tc>
        <w:tc>
          <w:tcPr>
            <w:shd w:fill="FFFFFF" w:val="clear"/>
            <w:vAlign w:val="top"/>
          </w:tcPr>
          <w:p>
            <w:pPr>
              <w:spacing w:after="100"/>
            </w:pPr>
            <w:r>
              <w:t xml:space="preserve">Template/Copy</w:t>
            </w:r>
          </w:p>
        </w:tc>
        <w:tc>
          <w:tcPr>
            <w:shd w:fill="FFFFFF" w:val="clear"/>
            <w:vAlign w:val="top"/>
          </w:tcPr>
          <w:p>
            <w:pPr>
              <w:spacing w:after="100"/>
            </w:pPr>
            <w:r>
              <w:t xml:space="preserve">System</w:t>
            </w:r>
          </w:p>
        </w:tc>
        <w:tc>
          <w:tcPr>
            <w:shd w:fill="FFFFFF" w:val="clear"/>
            <w:vAlign w:val="top"/>
          </w:tcPr>
          <w:p>
            <w:pPr>
              <w:spacing w:after="100"/>
            </w:pPr>
            <w:r>
              <w:t xml:space="preserve">Generates FEC-compliant email disclaimer for candidate fundraising communications; customizes sender and candidate information</w:t>
            </w:r>
          </w:p>
        </w:tc>
      </w:tr>
      <w:tr>
        <w:tc>
          <w:tcPr>
            <w:shd w:fill="FFFFFF" w:val="clear"/>
            <w:vAlign w:val="top"/>
          </w:tcPr>
          <w:p>
            <w:pPr>
              <w:spacing w:after="100"/>
            </w:pPr>
            <w:r>
              <w:t xml:space="preserve">Print Disclaimer</w:t>
            </w:r>
          </w:p>
        </w:tc>
        <w:tc>
          <w:tcPr>
            <w:shd w:fill="FFFFFF" w:val="clear"/>
            <w:vAlign w:val="top"/>
          </w:tcPr>
          <w:p>
            <w:pPr>
              <w:spacing w:after="100"/>
            </w:pPr>
            <w:r>
              <w:t xml:space="preserve">Template/Copy</w:t>
            </w:r>
          </w:p>
        </w:tc>
        <w:tc>
          <w:tcPr>
            <w:shd w:fill="FFFFFF" w:val="clear"/>
            <w:vAlign w:val="top"/>
          </w:tcPr>
          <w:p>
            <w:pPr>
              <w:spacing w:after="100"/>
            </w:pPr>
            <w:r>
              <w:t xml:space="preserve">System</w:t>
            </w:r>
          </w:p>
        </w:tc>
        <w:tc>
          <w:tcPr>
            <w:shd w:fill="FFFFFF" w:val="clear"/>
            <w:vAlign w:val="top"/>
          </w:tcPr>
          <w:p>
            <w:pPr>
              <w:spacing w:after="100"/>
            </w:pPr>
            <w:r>
              <w:t xml:space="preserve">Generates FEC-compliant print disclaimer for direct mail, brochures, and printed campaign materials; includes sizing specifications</w:t>
            </w:r>
          </w:p>
        </w:tc>
      </w:tr>
      <w:tr>
        <w:tc>
          <w:tcPr>
            <w:shd w:fill="FFFFFF" w:val="clear"/>
            <w:vAlign w:val="top"/>
          </w:tcPr>
          <w:p>
            <w:pPr>
              <w:spacing w:after="100"/>
            </w:pPr>
            <w:r>
              <w:t xml:space="preserve">Digital Ad Disclaimer</w:t>
            </w:r>
          </w:p>
        </w:tc>
        <w:tc>
          <w:tcPr>
            <w:shd w:fill="FFFFFF" w:val="clear"/>
            <w:vAlign w:val="top"/>
          </w:tcPr>
          <w:p>
            <w:pPr>
              <w:spacing w:after="100"/>
            </w:pPr>
            <w:r>
              <w:t xml:space="preserve">Template/Copy</w:t>
            </w:r>
          </w:p>
        </w:tc>
        <w:tc>
          <w:tcPr>
            <w:shd w:fill="FFFFFF" w:val="clear"/>
            <w:vAlign w:val="top"/>
          </w:tcPr>
          <w:p>
            <w:pPr>
              <w:spacing w:after="100"/>
            </w:pPr>
            <w:r>
              <w:t xml:space="preserve">System</w:t>
            </w:r>
          </w:p>
        </w:tc>
        <w:tc>
          <w:tcPr>
            <w:shd w:fill="FFFFFF" w:val="clear"/>
            <w:vAlign w:val="top"/>
          </w:tcPr>
          <w:p>
            <w:pPr>
              <w:spacing w:after="100"/>
            </w:pPr>
            <w:r>
              <w:t xml:space="preserve">Generates FEC-compliant digital advertisement disclaimer for display ads, video ads, and rich media; includes technical specifications</w:t>
            </w:r>
          </w:p>
        </w:tc>
      </w:tr>
      <w:tr>
        <w:tc>
          <w:tcPr>
            <w:shd w:fill="FFFFFF" w:val="clear"/>
            <w:vAlign w:val="top"/>
          </w:tcPr>
          <w:p>
            <w:pPr>
              <w:spacing w:after="100"/>
            </w:pPr>
            <w:r>
              <w:t xml:space="preserve">Social Media Disclaimer</w:t>
            </w:r>
          </w:p>
        </w:tc>
        <w:tc>
          <w:tcPr>
            <w:shd w:fill="FFFFFF" w:val="clear"/>
            <w:vAlign w:val="top"/>
          </w:tcPr>
          <w:p>
            <w:pPr>
              <w:spacing w:after="100"/>
            </w:pPr>
            <w:r>
              <w:t xml:space="preserve">Template/Copy</w:t>
            </w:r>
          </w:p>
        </w:tc>
        <w:tc>
          <w:tcPr>
            <w:shd w:fill="FFFFFF" w:val="clear"/>
            <w:vAlign w:val="top"/>
          </w:tcPr>
          <w:p>
            <w:pPr>
              <w:spacing w:after="100"/>
            </w:pPr>
            <w:r>
              <w:t xml:space="preserve">System</w:t>
            </w:r>
          </w:p>
        </w:tc>
        <w:tc>
          <w:tcPr>
            <w:shd w:fill="FFFFFF" w:val="clear"/>
            <w:vAlign w:val="top"/>
          </w:tcPr>
          <w:p>
            <w:pPr>
              <w:spacing w:after="100"/>
            </w:pPr>
            <w:r>
              <w:t xml:space="preserve">Generates FEC-compliant social media disclaimer for Facebook, Instagram, and Twitter; abbreviated format for character constraints</w:t>
            </w:r>
          </w:p>
        </w:tc>
      </w:tr>
      <w:tr>
        <w:tc>
          <w:tcPr>
            <w:shd w:fill="FFFFFF" w:val="clear"/>
            <w:vAlign w:val="top"/>
          </w:tcPr>
          <w:p>
            <w:pPr>
              <w:spacing w:after="100"/>
            </w:pPr>
            <w:r>
              <w:t xml:space="preserve">Website Disclaimer</w:t>
            </w:r>
          </w:p>
        </w:tc>
        <w:tc>
          <w:tcPr>
            <w:shd w:fill="FFFFFF" w:val="clear"/>
            <w:vAlign w:val="top"/>
          </w:tcPr>
          <w:p>
            <w:pPr>
              <w:spacing w:after="100"/>
            </w:pPr>
            <w:r>
              <w:t xml:space="preserve">Template/Copy</w:t>
            </w:r>
          </w:p>
        </w:tc>
        <w:tc>
          <w:tcPr>
            <w:shd w:fill="FFFFFF" w:val="clear"/>
            <w:vAlign w:val="top"/>
          </w:tcPr>
          <w:p>
            <w:pPr>
              <w:spacing w:after="100"/>
            </w:pPr>
            <w:r>
              <w:t xml:space="preserve">System</w:t>
            </w:r>
          </w:p>
        </w:tc>
        <w:tc>
          <w:tcPr>
            <w:shd w:fill="FFFFFF" w:val="clear"/>
            <w:vAlign w:val="top"/>
          </w:tcPr>
          <w:p>
            <w:pPr>
              <w:spacing w:after="100"/>
            </w:pPr>
            <w:r>
              <w:t xml:space="preserve">Generates FEC-compliant website disclaimer for campaign websites; includes full committee contact information and federal disclaimers</w:t>
            </w:r>
          </w:p>
        </w:tc>
      </w:tr>
    </w:tbl>
    <w:p>
      <w:r>
        <w:t xml:space="preserve">
</w:t>
      </w:r>
    </w:p>
    <w:p>
      <w:pPr>
        <w:pStyle w:val="Heading3"/>
        <w:spacing w:after="200"/>
      </w:pPr>
      <w:r>
        <w:t xml:space="preserve">Disclaimer Tools Operational Workflows</w:t>
      </w:r>
    </w:p>
    <w:p>
      <w:pPr>
        <w:spacing w:after="200"/>
      </w:pPr>
      <w:r>
        <w:t xml:space="preserve">When campaign communications are created, the communications team accesses the Disclaimer Tools panel and selects the appropriate disclaimer template. The system generates a pre-formatted disclaimer customized with candidate and committee information.</w:t>
      </w:r>
    </w:p>
    <w:p>
      <w:pPr>
        <w:spacing w:after="200"/>
      </w:pPr>
      <w:r>
        <w:t xml:space="preserve">Email Disclaimer generates text-formatted disclaimers suitable for email body inclusion. The system customizes sender information and provides a disclaimer ready for direct copy-paste into email templates.</w:t>
      </w:r>
    </w:p>
    <w:p>
      <w:pPr>
        <w:spacing w:after="200"/>
      </w:pPr>
      <w:r>
        <w:t xml:space="preserve">Print Disclaimer generates image-compatible disclaimers with specifications for font sizing, positioning, and printing. The system provides both text and formatted image versions.</w:t>
      </w:r>
    </w:p>
    <w:p>
      <w:pPr>
        <w:spacing w:after="200"/>
      </w:pPr>
      <w:r>
        <w:t xml:space="preserve">Digital Ad Disclaimer generates disclaimers optimized for digital advertisement platforms. The system provides specifications for placement within ad layouts and sizing guidance for various ad formats.</w:t>
      </w:r>
    </w:p>
    <w:p>
      <w:pPr>
        <w:spacing w:after="200"/>
      </w:pPr>
      <w:r>
        <w:t xml:space="preserve">Social Media Disclaimer generates abbreviated disclaimers accounting for character limitations on social platforms. The system provides hashtag-compatible formats and platform-specific specifications.</w:t>
      </w:r>
    </w:p>
    <w:p>
      <w:pPr>
        <w:spacing w:after="300"/>
      </w:pPr>
      <w:r>
        <w:t xml:space="preserve">Website Disclaimer generates comprehensive disclaimer text suitable for campaign website footer or dedicated disclaimer page. The system includes full federal regulatory language and committee contact information.</w:t>
      </w:r>
    </w:p>
    <w:p>
      <w:pPr>
        <w:pStyle w:val="Heading2"/>
        <w:spacing w:after="200"/>
      </w:pPr>
      <w:r>
        <w:t xml:space="preserve">Compliance Calendar Control Panel</w:t>
      </w:r>
    </w:p>
    <w:p>
      <w:pPr>
        <w:spacing w:after="200"/>
      </w:pPr>
      <w:r>
        <w:t xml:space="preserve">The Compliance Calendar displays all applicable filing deadlines, reporting period cutoff dates, election dates, and amendment deadline windows. The calendar integrates both federal and state deadlines and automatically adjusts for jurisdictional requirements.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c>
          <w:tcPr>
            <w:shd w:fill="FFFFFF" w:val="clear"/>
            <w:vAlign w:val="top"/>
          </w:tcPr>
          <w:p>
            <w:pPr>
              <w:spacing w:after="100"/>
            </w:pPr>
            <w:r>
              <w:t xml:space="preserve">Filing Deadlines</w:t>
            </w:r>
          </w:p>
        </w:tc>
        <w:tc>
          <w:tcPr>
            <w:shd w:fill="FFFFFF" w:val="clear"/>
            <w:vAlign w:val="top"/>
          </w:tcPr>
          <w:p>
            <w:pPr>
              <w:spacing w:after="100"/>
            </w:pPr>
            <w:r>
              <w:t xml:space="preserve">Calendar/List</w:t>
            </w:r>
          </w:p>
        </w:tc>
        <w:tc>
          <w:tcPr>
            <w:shd w:fill="FFFFFF" w:val="clear"/>
            <w:vAlign w:val="top"/>
          </w:tcPr>
          <w:p>
            <w:pPr>
              <w:spacing w:after="100"/>
            </w:pPr>
            <w:r>
              <w:t xml:space="preserve">System</w:t>
            </w:r>
          </w:p>
        </w:tc>
        <w:tc>
          <w:tcPr>
            <w:shd w:fill="FFFFFF" w:val="clear"/>
            <w:vAlign w:val="top"/>
          </w:tcPr>
          <w:p>
            <w:pPr>
              <w:spacing w:after="100"/>
            </w:pPr>
            <w:r>
              <w:t xml:space="preserve">Displays all required filing deadlines (quarterly, monthly, semi-annual, pre-election, post-election); color-codes based on days remaining</w:t>
            </w:r>
          </w:p>
        </w:tc>
      </w:tr>
      <w:tr>
        <w:tc>
          <w:tcPr>
            <w:shd w:fill="FFFFFF" w:val="clear"/>
            <w:vAlign w:val="top"/>
          </w:tcPr>
          <w:p>
            <w:pPr>
              <w:spacing w:after="100"/>
            </w:pPr>
            <w:r>
              <w:t xml:space="preserve">Reporting Periods</w:t>
            </w:r>
          </w:p>
        </w:tc>
        <w:tc>
          <w:tcPr>
            <w:shd w:fill="FFFFFF" w:val="clear"/>
            <w:vAlign w:val="top"/>
          </w:tcPr>
          <w:p>
            <w:pPr>
              <w:spacing w:after="100"/>
            </w:pPr>
            <w:r>
              <w:t xml:space="preserve">Calendar/Range</w:t>
            </w:r>
          </w:p>
        </w:tc>
        <w:tc>
          <w:tcPr>
            <w:shd w:fill="FFFFFF" w:val="clear"/>
            <w:vAlign w:val="top"/>
          </w:tcPr>
          <w:p>
            <w:pPr>
              <w:spacing w:after="100"/>
            </w:pPr>
            <w:r>
              <w:t xml:space="preserve">System</w:t>
            </w:r>
          </w:p>
        </w:tc>
        <w:tc>
          <w:tcPr>
            <w:shd w:fill="FFFFFF" w:val="clear"/>
            <w:vAlign w:val="top"/>
          </w:tcPr>
          <w:p>
            <w:pPr>
              <w:spacing w:after="100"/>
            </w:pPr>
            <w:r>
              <w:t xml:space="preserve">Shows cutoff dates for each reporting period; highlights period start and end dates for contribution inclusion calculations</w:t>
            </w:r>
          </w:p>
        </w:tc>
      </w:tr>
      <w:tr>
        <w:tc>
          <w:tcPr>
            <w:shd w:fill="FFFFFF" w:val="clear"/>
            <w:vAlign w:val="top"/>
          </w:tcPr>
          <w:p>
            <w:pPr>
              <w:spacing w:after="100"/>
            </w:pPr>
            <w:r>
              <w:t xml:space="preserve">Pre/Post Election Dates</w:t>
            </w:r>
          </w:p>
        </w:tc>
        <w:tc>
          <w:tcPr>
            <w:shd w:fill="FFFFFF" w:val="clear"/>
            <w:vAlign w:val="top"/>
          </w:tcPr>
          <w:p>
            <w:pPr>
              <w:spacing w:after="100"/>
            </w:pPr>
            <w:r>
              <w:t xml:space="preserve">Calendar/Highlight</w:t>
            </w:r>
          </w:p>
        </w:tc>
        <w:tc>
          <w:tcPr>
            <w:shd w:fill="FFFFFF" w:val="clear"/>
            <w:vAlign w:val="top"/>
          </w:tcPr>
          <w:p>
            <w:pPr>
              <w:spacing w:after="100"/>
            </w:pPr>
            <w:r>
              <w:t xml:space="preserve">System</w:t>
            </w:r>
          </w:p>
        </w:tc>
        <w:tc>
          <w:tcPr>
            <w:shd w:fill="FFFFFF" w:val="clear"/>
            <w:vAlign w:val="top"/>
          </w:tcPr>
          <w:p>
            <w:pPr>
              <w:spacing w:after="100"/>
            </w:pPr>
            <w:r>
              <w:t xml:space="preserve">Displays election dates and pre/post-election reporting requirement dates; highlights 48-hour notice windows</w:t>
            </w:r>
          </w:p>
        </w:tc>
      </w:tr>
      <w:tr>
        <w:tc>
          <w:tcPr>
            <w:shd w:fill="FFFFFF" w:val="clear"/>
            <w:vAlign w:val="top"/>
          </w:tcPr>
          <w:p>
            <w:pPr>
              <w:spacing w:after="100"/>
            </w:pPr>
            <w:r>
              <w:t xml:space="preserve">Amendment Deadlines</w:t>
            </w:r>
          </w:p>
        </w:tc>
        <w:tc>
          <w:tcPr>
            <w:shd w:fill="FFFFFF" w:val="clear"/>
            <w:vAlign w:val="top"/>
          </w:tcPr>
          <w:p>
            <w:pPr>
              <w:spacing w:after="100"/>
            </w:pPr>
            <w:r>
              <w:t xml:space="preserve">Calendar/List</w:t>
            </w:r>
          </w:p>
        </w:tc>
        <w:tc>
          <w:tcPr>
            <w:shd w:fill="FFFFFF" w:val="clear"/>
            <w:vAlign w:val="top"/>
          </w:tcPr>
          <w:p>
            <w:pPr>
              <w:spacing w:after="100"/>
            </w:pPr>
            <w:r>
              <w:t xml:space="preserve">System</w:t>
            </w:r>
          </w:p>
        </w:tc>
        <w:tc>
          <w:tcPr>
            <w:shd w:fill="FFFFFF" w:val="clear"/>
            <w:vAlign w:val="top"/>
          </w:tcPr>
          <w:p>
            <w:pPr>
              <w:spacing w:after="100"/>
            </w:pPr>
            <w:r>
              <w:t xml:space="preserve">Shows deadlines for filing amendments to previously submitted reports; displays deadline relative to original filing date</w:t>
            </w:r>
          </w:p>
        </w:tc>
      </w:tr>
    </w:tbl>
    <w:p>
      <w:r>
        <w:t xml:space="preserve">
</w:t>
      </w:r>
    </w:p>
    <w:p>
      <w:pPr>
        <w:pStyle w:val="Heading3"/>
        <w:spacing w:after="200"/>
      </w:pPr>
      <w:r>
        <w:t xml:space="preserve">Compliance Calendar Operational Workflows</w:t>
      </w:r>
    </w:p>
    <w:p>
      <w:pPr>
        <w:spacing w:after="200"/>
      </w:pPr>
      <w:r>
        <w:t xml:space="preserve">The Compliance Calendar provides comprehensive deadline visibility. Campaign managers can view all upcoming filing requirements in a single calendar view. Deadlines are color-coded by proximity: green for deadlines more than 30 days away, yellow for deadlines 7-30 days away, and red for imminent deadlines.</w:t>
      </w:r>
    </w:p>
    <w:p>
      <w:pPr>
        <w:spacing w:after="200"/>
      </w:pPr>
      <w:r>
        <w:t xml:space="preserve">Reporting Periods display the cutoff dates for each reporting cycle. Campaign finance managers can use these dates to ensure contribution data is properly categorized by reporting period.</w:t>
      </w:r>
    </w:p>
    <w:p>
      <w:pPr>
        <w:spacing w:after="200"/>
      </w:pPr>
      <w:r>
        <w:t xml:space="preserve">Pre/Post Election Dates highlight election events and their associated filing requirements. The system automatically calculates pre- and post-election reporting windows and displays 48-hour contribution notice windows.</w:t>
      </w:r>
    </w:p>
    <w:p>
      <w:pPr>
        <w:spacing w:after="400"/>
      </w:pPr>
      <w:r>
        <w:t xml:space="preserve">Amendment Deadlines show the windows within which previously filed reports can be amended. The system typically permits amendments filed within 30 days of original filing without penalty; deadlines beyond 30 days trigger extended-amendment procedures.</w:t>
      </w:r>
    </w:p>
    <w:p>
      <w:pPr>
        <w:pStyle w:val="Heading1"/>
        <w:spacing w:before="400" w:after="300"/>
      </w:pPr>
      <w:r>
        <w:t xml:space="preserve">SECTION 4: ADMIN PANEL — COMPLIANCE ANALYTICS AND RISK ASSESSMENT</w:t>
      </w:r>
    </w:p>
    <w:p>
      <w:pPr>
        <w:spacing w:after="300"/>
      </w:pPr>
      <w:r>
        <w:t xml:space="preserve">The E10 Admin Panel provides campaign managers and compliance officers with comprehensive analytics, compliance scoring, financial compliance tracking, filing history audit trails, and risk assessment capabilities. The Admin Panel supports both black and light theme rendering.</w:t>
      </w:r>
    </w:p>
    <w:p>
      <w:pPr>
        <w:pStyle w:val="Heading2"/>
        <w:spacing w:after="200"/>
      </w:pPr>
      <w:r>
        <w:t xml:space="preserve">Compliance Score Dashboard</w:t>
      </w:r>
    </w:p>
    <w:p>
      <w:pPr>
        <w:spacing w:after="200"/>
      </w:pPr>
      <w:r>
        <w:t xml:space="preserve">The Compliance Score Dashboard aggregates multi-dimensional compliance metrics into a composite health score. The dashboard displays overall health assessment, filing status evaluation, and donor compliance percentage.</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c>
          <w:tcPr>
            <w:shd w:fill="FFFFFF" w:val="clear"/>
            <w:vAlign w:val="top"/>
          </w:tcPr>
          <w:p>
            <w:pPr>
              <w:spacing w:after="100"/>
            </w:pPr>
            <w:r>
              <w:t xml:space="preserve">Overall Health</w:t>
            </w:r>
          </w:p>
        </w:tc>
        <w:tc>
          <w:tcPr>
            <w:shd w:fill="FFFFFF" w:val="clear"/>
            <w:vAlign w:val="top"/>
          </w:tcPr>
          <w:p>
            <w:pPr>
              <w:spacing w:after="100"/>
            </w:pPr>
            <w:r>
              <w:t xml:space="preserve">Score/Color</w:t>
            </w:r>
          </w:p>
        </w:tc>
        <w:tc>
          <w:tcPr>
            <w:shd w:fill="FFFFFF" w:val="clear"/>
            <w:vAlign w:val="top"/>
          </w:tcPr>
          <w:p>
            <w:pPr>
              <w:spacing w:after="100"/>
            </w:pPr>
            <w:r>
              <w:t xml:space="preserve">System</w:t>
            </w:r>
          </w:p>
        </w:tc>
        <w:tc>
          <w:tcPr>
            <w:shd w:fill="FFFFFF" w:val="clear"/>
            <w:vAlign w:val="top"/>
          </w:tcPr>
          <w:p>
            <w:pPr>
              <w:spacing w:after="100"/>
            </w:pPr>
            <w:r>
              <w:t xml:space="preserve">Composite score 0-100 reflecting all compliance dimensions; green (80-100), yellow (60-79), red (0-59)</w:t>
            </w:r>
          </w:p>
        </w:tc>
      </w:tr>
      <w:tr>
        <w:tc>
          <w:tcPr>
            <w:shd w:fill="FFFFFF" w:val="clear"/>
            <w:vAlign w:val="top"/>
          </w:tcPr>
          <w:p>
            <w:pPr>
              <w:spacing w:after="100"/>
            </w:pPr>
            <w:r>
              <w:t xml:space="preserve">Filing Status</w:t>
            </w:r>
          </w:p>
        </w:tc>
        <w:tc>
          <w:tcPr>
            <w:shd w:fill="FFFFFF" w:val="clear"/>
            <w:vAlign w:val="top"/>
          </w:tcPr>
          <w:p>
            <w:pPr>
              <w:spacing w:after="100"/>
            </w:pPr>
            <w:r>
              <w:t xml:space="preserve">Status/Percentage</w:t>
            </w:r>
          </w:p>
        </w:tc>
        <w:tc>
          <w:tcPr>
            <w:shd w:fill="FFFFFF" w:val="clear"/>
            <w:vAlign w:val="top"/>
          </w:tcPr>
          <w:p>
            <w:pPr>
              <w:spacing w:after="100"/>
            </w:pPr>
            <w:r>
              <w:t xml:space="preserve">System</w:t>
            </w:r>
          </w:p>
        </w:tc>
        <w:tc>
          <w:tcPr>
            <w:shd w:fill="FFFFFF" w:val="clear"/>
            <w:vAlign w:val="top"/>
          </w:tcPr>
          <w:p>
            <w:pPr>
              <w:spacing w:after="100"/>
            </w:pPr>
            <w:r>
              <w:t xml:space="preserve">Current filing compliance status; displays percentage of required filings submitted timely</w:t>
            </w:r>
          </w:p>
        </w:tc>
      </w:tr>
      <w:tr>
        <w:tc>
          <w:tcPr>
            <w:shd w:fill="FFFFFF" w:val="clear"/>
            <w:vAlign w:val="top"/>
          </w:tcPr>
          <w:p>
            <w:pPr>
              <w:spacing w:after="100"/>
            </w:pPr>
            <w:r>
              <w:t xml:space="preserve">Donor Compliance %</w:t>
            </w:r>
          </w:p>
        </w:tc>
        <w:tc>
          <w:tcPr>
            <w:shd w:fill="FFFFFF" w:val="clear"/>
            <w:vAlign w:val="top"/>
          </w:tcPr>
          <w:p>
            <w:pPr>
              <w:spacing w:after="100"/>
            </w:pPr>
            <w:r>
              <w:t xml:space="preserve">Percentage/Trend</w:t>
            </w:r>
          </w:p>
        </w:tc>
        <w:tc>
          <w:tcPr>
            <w:shd w:fill="FFFFFF" w:val="clear"/>
            <w:vAlign w:val="top"/>
          </w:tcPr>
          <w:p>
            <w:pPr>
              <w:spacing w:after="100"/>
            </w:pPr>
            <w:r>
              <w:t xml:space="preserve">Database</w:t>
            </w:r>
          </w:p>
        </w:tc>
        <w:tc>
          <w:tcPr>
            <w:shd w:fill="FFFFFF" w:val="clear"/>
            <w:vAlign w:val="top"/>
          </w:tcPr>
          <w:p>
            <w:pPr>
              <w:spacing w:after="100"/>
            </w:pPr>
            <w:r>
              <w:t xml:space="preserve">Percentage of contributions with complete and valid donor information; displays trend relative to previous period</w:t>
            </w:r>
          </w:p>
        </w:tc>
      </w:tr>
      <w:tr>
        <w:tc>
          <w:tcPr>
            <w:shd w:fill="FFFFFF" w:val="clear"/>
            <w:vAlign w:val="top"/>
          </w:tcPr>
          <w:p>
            <w:pPr>
              <w:spacing w:after="100"/>
            </w:pPr>
            <w:r>
              <w:t xml:space="preserve">Record Completeness</w:t>
            </w:r>
          </w:p>
        </w:tc>
        <w:tc>
          <w:tcPr>
            <w:shd w:fill="FFFFFF" w:val="clear"/>
            <w:vAlign w:val="top"/>
          </w:tcPr>
          <w:p>
            <w:pPr>
              <w:spacing w:after="100"/>
            </w:pPr>
            <w:r>
              <w:t xml:space="preserve">Percentage/Detail</w:t>
            </w:r>
          </w:p>
        </w:tc>
        <w:tc>
          <w:tcPr>
            <w:shd w:fill="FFFFFF" w:val="clear"/>
            <w:vAlign w:val="top"/>
          </w:tcPr>
          <w:p>
            <w:pPr>
              <w:spacing w:after="100"/>
            </w:pPr>
            <w:r>
              <w:t xml:space="preserve">Database</w:t>
            </w:r>
          </w:p>
        </w:tc>
        <w:tc>
          <w:tcPr>
            <w:shd w:fill="FFFFFF" w:val="clear"/>
            <w:vAlign w:val="top"/>
          </w:tcPr>
          <w:p>
            <w:pPr>
              <w:spacing w:after="100"/>
            </w:pPr>
            <w:r>
              <w:t xml:space="preserve">Percentage of contribution records containing all mandatory fields; identifies gaps by field type</w:t>
            </w:r>
          </w:p>
        </w:tc>
      </w:tr>
    </w:tbl>
    <w:p>
      <w:r>
        <w:t xml:space="preserve">
</w:t>
      </w:r>
    </w:p>
    <w:p>
      <w:pPr>
        <w:pStyle w:val="Heading3"/>
        <w:spacing w:after="200"/>
      </w:pPr>
      <w:r>
        <w:t xml:space="preserve">Compliance Score Calculation Methodology</w:t>
      </w:r>
    </w:p>
    <w:p>
      <w:pPr>
        <w:spacing w:after="200"/>
      </w:pPr>
      <w:r>
        <w:t xml:space="preserve">The Overall Health score combines four equally-weighted dimensions: filing timeliness (25%), donor information completeness (25%), contribution limit compliance (25%), and donor eligibility verification (25%). Each dimension is normalized to 0-100 scale, then averaged to produce composite score.</w:t>
      </w:r>
    </w:p>
    <w:p>
      <w:pPr>
        <w:spacing w:after="200"/>
      </w:pPr>
      <w:r>
        <w:t xml:space="preserve">Filing Status reflects the percentage of statutorily required filings submitted by deadline. If a campaign was required to file quarterly reports and submitted three of four quarterly reports on time, Filing Status would be 75%. Overdue filings reduce this score.</w:t>
      </w:r>
    </w:p>
    <w:p>
      <w:pPr>
        <w:spacing w:after="200"/>
      </w:pPr>
      <w:r>
        <w:t xml:space="preserve">Donor Compliance % measures the percentage of contributions with complete occupation, employer, and address information. Contributions with any missing mandatory donor field reduce this percentage. Contributions flagged for foreign national or minor donor concerns reduce this score.</w:t>
      </w:r>
    </w:p>
    <w:p>
      <w:pPr>
        <w:spacing w:after="300"/>
      </w:pPr>
      <w:r>
        <w:t xml:space="preserve">Record Completeness identifies gaps in contribution record data. Missing fields are categorized by type and displayed as contribution count and percentage of total contributions.</w:t>
      </w:r>
    </w:p>
    <w:p>
      <w:pPr>
        <w:pStyle w:val="Heading2"/>
        <w:spacing w:after="200"/>
      </w:pPr>
      <w:r>
        <w:t xml:space="preserve">Financial Compliance Metrics</w:t>
      </w:r>
    </w:p>
    <w:p>
      <w:pPr>
        <w:spacing w:after="200"/>
      </w:pPr>
      <w:r>
        <w:t xml:space="preserve">The Financial Compliance panel displays contribution acceptance patterns, aggregate tracking results, and refund processing efficiency metrics.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c>
          <w:tcPr>
            <w:shd w:fill="FFFFFF" w:val="clear"/>
            <w:vAlign w:val="top"/>
          </w:tcPr>
          <w:p>
            <w:pPr>
              <w:spacing w:after="100"/>
            </w:pPr>
            <w:r>
              <w:t xml:space="preserve">Contributions by Limit Status</w:t>
            </w:r>
          </w:p>
        </w:tc>
        <w:tc>
          <w:tcPr>
            <w:shd w:fill="FFFFFF" w:val="clear"/>
            <w:vAlign w:val="top"/>
          </w:tcPr>
          <w:p>
            <w:pPr>
              <w:spacing w:after="100"/>
            </w:pPr>
            <w:r>
              <w:t xml:space="preserve">Chart/Table</w:t>
            </w:r>
          </w:p>
        </w:tc>
        <w:tc>
          <w:tcPr>
            <w:shd w:fill="FFFFFF" w:val="clear"/>
            <w:vAlign w:val="top"/>
          </w:tcPr>
          <w:p>
            <w:pPr>
              <w:spacing w:after="100"/>
            </w:pPr>
            <w:r>
              <w:t xml:space="preserve">Database</w:t>
            </w:r>
          </w:p>
        </w:tc>
        <w:tc>
          <w:tcPr>
            <w:shd w:fill="FFFFFF" w:val="clear"/>
            <w:vAlign w:val="top"/>
          </w:tcPr>
          <w:p>
            <w:pPr>
              <w:spacing w:after="100"/>
            </w:pPr>
            <w:r>
              <w:t xml:space="preserve">Displays contribution distribution: under-limit (green), near-limit (yellow), limit-exceeded (red); shows contribution counts and aggregate amounts</w:t>
            </w:r>
          </w:p>
        </w:tc>
      </w:tr>
      <w:tr>
        <w:tc>
          <w:tcPr>
            <w:shd w:fill="FFFFFF" w:val="clear"/>
            <w:vAlign w:val="top"/>
          </w:tcPr>
          <w:p>
            <w:pPr>
              <w:spacing w:after="100"/>
            </w:pPr>
            <w:r>
              <w:t xml:space="preserve">Aggregate Tracking</w:t>
            </w:r>
          </w:p>
        </w:tc>
        <w:tc>
          <w:tcPr>
            <w:shd w:fill="FFFFFF" w:val="clear"/>
            <w:vAlign w:val="top"/>
          </w:tcPr>
          <w:p>
            <w:pPr>
              <w:spacing w:after="100"/>
            </w:pPr>
            <w:r>
              <w:t xml:space="preserve">Table/Calculation</w:t>
            </w:r>
          </w:p>
        </w:tc>
        <w:tc>
          <w:tcPr>
            <w:shd w:fill="FFFFFF" w:val="clear"/>
            <w:vAlign w:val="top"/>
          </w:tcPr>
          <w:p>
            <w:pPr>
              <w:spacing w:after="100"/>
            </w:pPr>
            <w:r>
              <w:t xml:space="preserve">Database</w:t>
            </w:r>
          </w:p>
        </w:tc>
        <w:tc>
          <w:tcPr>
            <w:shd w:fill="FFFFFF" w:val="clear"/>
            <w:vAlign w:val="top"/>
          </w:tcPr>
          <w:p>
            <w:pPr>
              <w:spacing w:after="100"/>
            </w:pPr>
            <w:r>
              <w:t xml:space="preserve">Lists all donor aggregates with remaining capacity and days remaining in aggregate period; identifies donors near limits</w:t>
            </w:r>
          </w:p>
        </w:tc>
      </w:tr>
      <w:tr>
        <w:tc>
          <w:tcPr>
            <w:shd w:fill="FFFFFF" w:val="clear"/>
            <w:vAlign w:val="top"/>
          </w:tcPr>
          <w:p>
            <w:pPr>
              <w:spacing w:after="100"/>
            </w:pPr>
            <w:r>
              <w:t xml:space="preserve">Refund Processing Time</w:t>
            </w:r>
          </w:p>
        </w:tc>
        <w:tc>
          <w:tcPr>
            <w:shd w:fill="FFFFFF" w:val="clear"/>
            <w:vAlign w:val="top"/>
          </w:tcPr>
          <w:p>
            <w:pPr>
              <w:spacing w:after="100"/>
            </w:pPr>
            <w:r>
              <w:t xml:space="preserve">Metric/Trend</w:t>
            </w:r>
          </w:p>
        </w:tc>
        <w:tc>
          <w:tcPr>
            <w:shd w:fill="FFFFFF" w:val="clear"/>
            <w:vAlign w:val="top"/>
          </w:tcPr>
          <w:p>
            <w:pPr>
              <w:spacing w:after="100"/>
            </w:pPr>
            <w:r>
              <w:t xml:space="preserve">Database</w:t>
            </w:r>
          </w:p>
        </w:tc>
        <w:tc>
          <w:tcPr>
            <w:shd w:fill="FFFFFF" w:val="clear"/>
            <w:vAlign w:val="top"/>
          </w:tcPr>
          <w:p>
            <w:pPr>
              <w:spacing w:after="100"/>
            </w:pPr>
            <w:r>
              <w:t xml:space="preserve">Average days from refund initiation to completion; identifies processing bottlenecks; displays historical trend</w:t>
            </w:r>
          </w:p>
        </w:tc>
      </w:tr>
    </w:tbl>
    <w:p>
      <w:r>
        <w:t xml:space="preserve">
</w:t>
      </w:r>
    </w:p>
    <w:p>
      <w:pPr>
        <w:pStyle w:val="Heading3"/>
        <w:spacing w:after="200"/>
      </w:pPr>
      <w:r>
        <w:t xml:space="preserve">Financial Compliance Operational Analysis</w:t>
      </w:r>
    </w:p>
    <w:p>
      <w:pPr>
        <w:spacing w:after="200"/>
      </w:pPr>
      <w:r>
        <w:t xml:space="preserve">Contributions by Limit Status provides a rapid overview of contribution limit compliance. A bar chart displays three segments: green-shaded contributions within limits, yellow-shaded contributions within 75-100% of limits, and red-shaded contributions exceeding limits.</w:t>
      </w:r>
    </w:p>
    <w:p>
      <w:pPr>
        <w:spacing w:after="200"/>
      </w:pPr>
      <w:r>
        <w:t xml:space="preserve">Aggregate Tracking displays cumulative contribution totals per donor across all reporting periods within a calendar year. The system identifies donors who have contributed maximum amounts and prevents acceptance of additional contributions from limit-exhausted donors.</w:t>
      </w:r>
    </w:p>
    <w:p>
      <w:pPr>
        <w:spacing w:after="300"/>
      </w:pPr>
      <w:r>
        <w:t xml:space="preserve">Refund Processing Time tracks efficiency of refund operations. The system calculates average processing time from refund initiation (when flagged for refund) to completion (when confirmation is received). Efficiency metrics help compliance teams identify workflow bottlenecks.</w:t>
      </w:r>
    </w:p>
    <w:p>
      <w:pPr>
        <w:pStyle w:val="Heading2"/>
        <w:spacing w:after="200"/>
      </w:pPr>
      <w:r>
        <w:t xml:space="preserve">Filing History Audit Trail</w:t>
      </w:r>
    </w:p>
    <w:p>
      <w:pPr>
        <w:spacing w:after="200"/>
      </w:pPr>
      <w:r>
        <w:t xml:space="preserve">The Filing History panel maintains complete audit trail of all regulatory filings, amendments, penalties, and audit results.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c>
          <w:tcPr>
            <w:shd w:fill="FFFFFF" w:val="clear"/>
            <w:vAlign w:val="top"/>
          </w:tcPr>
          <w:p>
            <w:pPr>
              <w:spacing w:after="100"/>
            </w:pPr>
            <w:r>
              <w:t xml:space="preserve">Past Filings</w:t>
            </w:r>
          </w:p>
        </w:tc>
        <w:tc>
          <w:tcPr>
            <w:shd w:fill="FFFFFF" w:val="clear"/>
            <w:vAlign w:val="top"/>
          </w:tcPr>
          <w:p>
            <w:pPr>
              <w:spacing w:after="100"/>
            </w:pPr>
            <w:r>
              <w:t xml:space="preserve">Table/Download</w:t>
            </w:r>
          </w:p>
        </w:tc>
        <w:tc>
          <w:tcPr>
            <w:shd w:fill="FFFFFF" w:val="clear"/>
            <w:vAlign w:val="top"/>
          </w:tcPr>
          <w:p>
            <w:pPr>
              <w:spacing w:after="100"/>
            </w:pPr>
            <w:r>
              <w:t xml:space="preserve">Database</w:t>
            </w:r>
          </w:p>
        </w:tc>
        <w:tc>
          <w:tcPr>
            <w:shd w:fill="FFFFFF" w:val="clear"/>
            <w:vAlign w:val="top"/>
          </w:tcPr>
          <w:p>
            <w:pPr>
              <w:spacing w:after="100"/>
            </w:pPr>
            <w:r>
              <w:t xml:space="preserve">Lists all previously submitted filings with submission date, report type, and regulatory reference number; enables download of filed versions</w:t>
            </w:r>
          </w:p>
        </w:tc>
      </w:tr>
      <w:tr>
        <w:tc>
          <w:tcPr>
            <w:shd w:fill="FFFFFF" w:val="clear"/>
            <w:vAlign w:val="top"/>
          </w:tcPr>
          <w:p>
            <w:pPr>
              <w:spacing w:after="100"/>
            </w:pPr>
            <w:r>
              <w:t xml:space="preserve">Amendments Filed</w:t>
            </w:r>
          </w:p>
        </w:tc>
        <w:tc>
          <w:tcPr>
            <w:shd w:fill="FFFFFF" w:val="clear"/>
            <w:vAlign w:val="top"/>
          </w:tcPr>
          <w:p>
            <w:pPr>
              <w:spacing w:after="100"/>
            </w:pPr>
            <w:r>
              <w:t xml:space="preserve">Table/Detail</w:t>
            </w:r>
          </w:p>
        </w:tc>
        <w:tc>
          <w:tcPr>
            <w:shd w:fill="FFFFFF" w:val="clear"/>
            <w:vAlign w:val="top"/>
          </w:tcPr>
          <w:p>
            <w:pPr>
              <w:spacing w:after="100"/>
            </w:pPr>
            <w:r>
              <w:t xml:space="preserve">Database</w:t>
            </w:r>
          </w:p>
        </w:tc>
        <w:tc>
          <w:tcPr>
            <w:shd w:fill="FFFFFF" w:val="clear"/>
            <w:vAlign w:val="top"/>
          </w:tcPr>
          <w:p>
            <w:pPr>
              <w:spacing w:after="100"/>
            </w:pPr>
            <w:r>
              <w:t xml:space="preserve">Shows all amendments with reference to original filing, amendment date, and corrected line items; displays amendment status</w:t>
            </w:r>
          </w:p>
        </w:tc>
      </w:tr>
      <w:tr>
        <w:tc>
          <w:tcPr>
            <w:shd w:fill="FFFFFF" w:val="clear"/>
            <w:vAlign w:val="top"/>
          </w:tcPr>
          <w:p>
            <w:pPr>
              <w:spacing w:after="100"/>
            </w:pPr>
            <w:r>
              <w:t xml:space="preserve">Late Filing Penalties</w:t>
            </w:r>
          </w:p>
        </w:tc>
        <w:tc>
          <w:tcPr>
            <w:shd w:fill="FFFFFF" w:val="clear"/>
            <w:vAlign w:val="top"/>
          </w:tcPr>
          <w:p>
            <w:pPr>
              <w:spacing w:after="100"/>
            </w:pPr>
            <w:r>
              <w:t xml:space="preserve">List/Amount</w:t>
            </w:r>
          </w:p>
        </w:tc>
        <w:tc>
          <w:tcPr>
            <w:shd w:fill="FFFFFF" w:val="clear"/>
            <w:vAlign w:val="top"/>
          </w:tcPr>
          <w:p>
            <w:pPr>
              <w:spacing w:after="100"/>
            </w:pPr>
            <w:r>
              <w:t xml:space="preserve">Database</w:t>
            </w:r>
          </w:p>
        </w:tc>
        <w:tc>
          <w:tcPr>
            <w:shd w:fill="FFFFFF" w:val="clear"/>
            <w:vAlign w:val="top"/>
          </w:tcPr>
          <w:p>
            <w:pPr>
              <w:spacing w:after="100"/>
            </w:pPr>
            <w:r>
              <w:t xml:space="preserve">Displays all penalties assessed for late filings with penalty amount, assessed date, and payment status</w:t>
            </w:r>
          </w:p>
        </w:tc>
      </w:tr>
      <w:tr>
        <w:tc>
          <w:tcPr>
            <w:shd w:fill="FFFFFF" w:val="clear"/>
            <w:vAlign w:val="top"/>
          </w:tcPr>
          <w:p>
            <w:pPr>
              <w:spacing w:after="100"/>
            </w:pPr>
            <w:r>
              <w:t xml:space="preserve">Audit Results</w:t>
            </w:r>
          </w:p>
        </w:tc>
        <w:tc>
          <w:tcPr>
            <w:shd w:fill="FFFFFF" w:val="clear"/>
            <w:vAlign w:val="top"/>
          </w:tcPr>
          <w:p>
            <w:pPr>
              <w:spacing w:after="100"/>
            </w:pPr>
            <w:r>
              <w:t xml:space="preserve">Report/Status</w:t>
            </w:r>
          </w:p>
        </w:tc>
        <w:tc>
          <w:tcPr>
            <w:shd w:fill="FFFFFF" w:val="clear"/>
            <w:vAlign w:val="top"/>
          </w:tcPr>
          <w:p>
            <w:pPr>
              <w:spacing w:after="100"/>
            </w:pPr>
            <w:r>
              <w:t xml:space="preserve">Database</w:t>
            </w:r>
          </w:p>
        </w:tc>
        <w:tc>
          <w:tcPr>
            <w:shd w:fill="FFFFFF" w:val="clear"/>
            <w:vAlign w:val="top"/>
          </w:tcPr>
          <w:p>
            <w:pPr>
              <w:spacing w:after="100"/>
            </w:pPr>
            <w:r>
              <w:t xml:space="preserve">Shows regulatory audit results with findings, corrective action requirements, and compliance remediation status</w:t>
            </w:r>
          </w:p>
        </w:tc>
      </w:tr>
    </w:tbl>
    <w:p>
      <w:r>
        <w:t xml:space="preserve">
</w:t>
      </w:r>
    </w:p>
    <w:p>
      <w:pPr>
        <w:pStyle w:val="Heading3"/>
        <w:spacing w:after="200"/>
      </w:pPr>
      <w:r>
        <w:t xml:space="preserve">Filing History Management</w:t>
      </w:r>
    </w:p>
    <w:p>
      <w:pPr>
        <w:spacing w:after="200"/>
      </w:pPr>
      <w:r>
        <w:t xml:space="preserve">The Past Filings table displays chronological list of all regulatory submissions. Each filing entry includes submission date, filing type, regulatory authority receiving the filing, and regulatory reference number assigned upon receipt.</w:t>
      </w:r>
    </w:p>
    <w:p>
      <w:pPr>
        <w:spacing w:after="200"/>
      </w:pPr>
      <w:r>
        <w:t xml:space="preserve">Amendments Filed section shows all amendments to previously filed reports. Each amendment entry displays reference to the original filing, amendment submission date, and specific line items modified.</w:t>
      </w:r>
    </w:p>
    <w:p>
      <w:pPr>
        <w:spacing w:after="200"/>
      </w:pPr>
      <w:r>
        <w:t xml:space="preserve">Late Filing Penalties displays penalties assessed for submissions after statutory deadlines. The system tracks penalty amount, assessment date, and payment status.</w:t>
      </w:r>
    </w:p>
    <w:p>
      <w:pPr>
        <w:spacing w:after="300"/>
      </w:pPr>
      <w:r>
        <w:t xml:space="preserve">Audit Results shows findings from regulatory audits or examination procedures. The system tracks audit findings, required corrective actions, and remediation status.</w:t>
      </w:r>
    </w:p>
    <w:p>
      <w:pPr>
        <w:pStyle w:val="Heading2"/>
        <w:spacing w:after="200"/>
      </w:pPr>
      <w:r>
        <w:t xml:space="preserve">Risk Assessment and Compliance Violations</w:t>
      </w:r>
    </w:p>
    <w:p>
      <w:pPr>
        <w:spacing w:after="200"/>
      </w:pPr>
      <w:r>
        <w:t xml:space="preserve">The Risk Assessment panel identifies potential compliance violations and high-risk contribution patterns requiring management attention.</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c>
          <w:tcPr>
            <w:shd w:fill="FFFFFF" w:val="clear"/>
            <w:vAlign w:val="top"/>
          </w:tcPr>
          <w:p>
            <w:pPr>
              <w:spacing w:after="100"/>
            </w:pPr>
            <w:r>
              <w:t xml:space="preserve">High-Risk Contributions</w:t>
            </w:r>
          </w:p>
        </w:tc>
        <w:tc>
          <w:tcPr>
            <w:shd w:fill="FFFFFF" w:val="clear"/>
            <w:vAlign w:val="top"/>
          </w:tcPr>
          <w:p>
            <w:pPr>
              <w:spacing w:after="100"/>
            </w:pPr>
            <w:r>
              <w:t xml:space="preserve">List/Flag</w:t>
            </w:r>
          </w:p>
        </w:tc>
        <w:tc>
          <w:tcPr>
            <w:shd w:fill="FFFFFF" w:val="clear"/>
            <w:vAlign w:val="top"/>
          </w:tcPr>
          <w:p>
            <w:pPr>
              <w:spacing w:after="100"/>
            </w:pPr>
            <w:r>
              <w:t xml:space="preserve">System</w:t>
            </w:r>
          </w:p>
        </w:tc>
        <w:tc>
          <w:tcPr>
            <w:shd w:fill="FFFFFF" w:val="clear"/>
            <w:vAlign w:val="top"/>
          </w:tcPr>
          <w:p>
            <w:pPr>
              <w:spacing w:after="100"/>
            </w:pPr>
            <w:r>
              <w:t xml:space="preserve">Displays contributions exceeding normal parameters: unusually large amounts, rapid sequential contributions, unusual sources; enables manual review</w:t>
            </w:r>
          </w:p>
        </w:tc>
      </w:tr>
      <w:tr>
        <w:tc>
          <w:tcPr>
            <w:shd w:fill="FFFFFF" w:val="clear"/>
            <w:vAlign w:val="top"/>
          </w:tcPr>
          <w:p>
            <w:pPr>
              <w:spacing w:after="100"/>
            </w:pPr>
            <w:r>
              <w:t xml:space="preserve">Flagged Donors</w:t>
            </w:r>
          </w:p>
        </w:tc>
        <w:tc>
          <w:tcPr>
            <w:shd w:fill="FFFFFF" w:val="clear"/>
            <w:vAlign w:val="top"/>
          </w:tcPr>
          <w:p>
            <w:pPr>
              <w:spacing w:after="100"/>
            </w:pPr>
            <w:r>
              <w:t xml:space="preserve">List/Reason</w:t>
            </w:r>
          </w:p>
        </w:tc>
        <w:tc>
          <w:tcPr>
            <w:shd w:fill="FFFFFF" w:val="clear"/>
            <w:vAlign w:val="top"/>
          </w:tcPr>
          <w:p>
            <w:pPr>
              <w:spacing w:after="100"/>
            </w:pPr>
            <w:r>
              <w:t xml:space="preserve">Database</w:t>
            </w:r>
          </w:p>
        </w:tc>
        <w:tc>
          <w:tcPr>
            <w:shd w:fill="FFFFFF" w:val="clear"/>
            <w:vAlign w:val="top"/>
          </w:tcPr>
          <w:p>
            <w:pPr>
              <w:spacing w:after="100"/>
            </w:pPr>
            <w:r>
              <w:t xml:space="preserve">Lists donors with flagged status: foreign nationals, prior contribution refunds, repeat over-limit contributions, minor donors</w:t>
            </w:r>
          </w:p>
        </w:tc>
      </w:tr>
      <w:tr>
        <w:tc>
          <w:tcPr>
            <w:shd w:fill="FFFFFF" w:val="clear"/>
            <w:vAlign w:val="top"/>
          </w:tcPr>
          <w:p>
            <w:pPr>
              <w:spacing w:after="100"/>
            </w:pPr>
            <w:r>
              <w:t xml:space="preserve">Compliance Violations</w:t>
            </w:r>
          </w:p>
        </w:tc>
        <w:tc>
          <w:tcPr>
            <w:shd w:fill="FFFFFF" w:val="clear"/>
            <w:vAlign w:val="top"/>
          </w:tcPr>
          <w:p>
            <w:pPr>
              <w:spacing w:after="100"/>
            </w:pPr>
            <w:r>
              <w:t xml:space="preserve">List/Severity</w:t>
            </w:r>
          </w:p>
        </w:tc>
        <w:tc>
          <w:tcPr>
            <w:shd w:fill="FFFFFF" w:val="clear"/>
            <w:vAlign w:val="top"/>
          </w:tcPr>
          <w:p>
            <w:pPr>
              <w:spacing w:after="100"/>
            </w:pPr>
            <w:r>
              <w:t xml:space="preserve">System</w:t>
            </w:r>
          </w:p>
        </w:tc>
        <w:tc>
          <w:tcPr>
            <w:shd w:fill="FFFFFF" w:val="clear"/>
            <w:vAlign w:val="top"/>
          </w:tcPr>
          <w:p>
            <w:pPr>
              <w:spacing w:after="100"/>
            </w:pPr>
            <w:r>
              <w:t xml:space="preserve">Displays identified compliance violations with severity rating: critical (immediate action required), high (within 24 hours), medium (within 7 days)</w:t>
            </w:r>
          </w:p>
        </w:tc>
      </w:tr>
    </w:tbl>
    <w:p>
      <w:r>
        <w:t xml:space="preserve">
</w:t>
      </w:r>
    </w:p>
    <w:p>
      <w:pPr>
        <w:pStyle w:val="Heading3"/>
        <w:spacing w:after="200"/>
      </w:pPr>
      <w:r>
        <w:t xml:space="preserve">Risk Assessment Methodology</w:t>
      </w:r>
    </w:p>
    <w:p>
      <w:pPr>
        <w:spacing w:after="200"/>
      </w:pPr>
      <w:r>
        <w:t xml:space="preserve">High-Risk Contributions are identified through pattern analysis. The system flags contributions exceeding typical campaign giving amounts, rapid sequential contributions from same source, or contributions from unusual sources (e.g., shell corporations, foreign addresses).</w:t>
      </w:r>
    </w:p>
    <w:p>
      <w:pPr>
        <w:spacing w:after="200"/>
      </w:pPr>
      <w:r>
        <w:t xml:space="preserve">Flagged Donors are tracked with reasons for flagging. Common flagging reasons include prior foreign national screening failure, prior refund due to over-limit status, or identification as minor donor requiring age verification.</w:t>
      </w:r>
    </w:p>
    <w:p>
      <w:pPr>
        <w:spacing w:after="400"/>
      </w:pPr>
      <w:r>
        <w:t xml:space="preserve">Compliance Violations are assigned severity ratings: critical violations require immediate action (contributions exceeding limits by large amounts, foreign national acceptance), high violations require action within 24 hours (foreign national screening failures, minor donor acceptance), and medium violations require action within 7 days (minor information discrepancies, documentation gaps).</w:t>
      </w:r>
    </w:p>
    <w:p>
      <w:pPr>
        <w:pStyle w:val="Heading1"/>
        <w:spacing w:before="400" w:after="300"/>
      </w:pPr>
      <w:r>
        <w:t xml:space="preserve">SECTION 5: E20 BRAIN INTEGRATION — ARTIFICIAL INTELLIGENCE AND AUTOMATION</w:t>
      </w:r>
    </w:p>
    <w:p>
      <w:pPr>
        <w:spacing w:after="300"/>
      </w:pPr>
      <w:r>
        <w:t xml:space="preserve">The E10 Compliance Ecosystem integrates with the E20 Brain, an artificial intelligence system designed to automate compliance-critical processes and provide predictive compliance analysis. The E20 Brain executes five core compliance automation functions.</w:t>
      </w:r>
    </w:p>
    <w:p>
      <w:pPr>
        <w:pStyle w:val="Heading2"/>
        <w:spacing w:after="200"/>
      </w:pPr>
      <w:r>
        <w:t xml:space="preserve">Automatic Contribution Limit Enforcement</w:t>
      </w:r>
    </w:p>
    <w:p>
      <w:pPr>
        <w:spacing w:after="200"/>
      </w:pPr>
      <w:r>
        <w:t xml:space="preserve">The E20 Brain automatically enforces contribution limits at the point of contribution entry. When a fundraiser attempts to record a contribution that would exceed applicable limits, the system automatically prevents acceptance and displays an error message identifying the excess amount.</w:t>
      </w:r>
    </w:p>
    <w:p>
      <w:pPr>
        <w:spacing w:after="200"/>
      </w:pPr>
      <w:r>
        <w:t xml:space="preserve">The system calculates aggregate contributions by donor across all contribution types and reporting periods within the calendar year. If a donor has reached their maximum contribution capacity, the system prevents acceptance of additional contributions from that donor.</w:t>
      </w:r>
    </w:p>
    <w:p>
      <w:pPr>
        <w:spacing w:after="200"/>
      </w:pPr>
      <w:r>
        <w:t xml:space="preserve">In-kind contributions and non-monetary donations are automatically evaluated for fair market value and included in aggregate contribution calculations. Service contributions are valued at prevailing market rates; property contributions are valued at fair market value.</w:t>
      </w:r>
    </w:p>
    <w:p>
      <w:pPr>
        <w:spacing w:after="300"/>
      </w:pPr>
      <w:r>
        <w:t xml:space="preserve">Joint fundraising contributions are automatically allocated to participating committees according to pre-agreed allocation percentages. The system prevents contribution limit violations by allocating funds to candidate accounts that have available capacity.</w:t>
      </w:r>
    </w:p>
    <w:p>
      <w:pPr>
        <w:pStyle w:val="Heading2"/>
        <w:spacing w:after="200"/>
      </w:pPr>
      <w:r>
        <w:t xml:space="preserve">Predictive Filing Preparation</w:t>
      </w:r>
    </w:p>
    <w:p>
      <w:pPr>
        <w:spacing w:after="200"/>
      </w:pPr>
      <w:r>
        <w:t xml:space="preserve">The E20 Brain predicts filing deadlines and automatically prepares draft reports as deadlines approach. Sixty days before a quarterly reporting deadline, the system begins analysis of contribution data and prepares a draft Form 3 quarterly report.</w:t>
      </w:r>
    </w:p>
    <w:p>
      <w:pPr>
        <w:spacing w:after="200"/>
      </w:pPr>
      <w:r>
        <w:t xml:space="preserve">The system automatically calculates all report line items from contribution data: total receipts, total contributions by category, total expenditures, cash balance. The system identifies missing or conflicting data and alerts compliance staff to data quality issues.</w:t>
      </w:r>
    </w:p>
    <w:p>
      <w:pPr>
        <w:spacing w:after="200"/>
      </w:pPr>
      <w:r>
        <w:t xml:space="preserve">The system generates compliance validation reports identifying potential filing errors: contributions to unknown payees, expenditures without proper categorization, missing contribution information. These validation reports enable rapid correction before filing.</w:t>
      </w:r>
    </w:p>
    <w:p>
      <w:pPr>
        <w:spacing w:after="300"/>
      </w:pPr>
      <w:r>
        <w:t xml:space="preserve">As filing deadlines approach, the system increases notification frequency and visual emphasis, triggering escalation alerts within 14 days, 7 days, 3 days, and 24 hours of filing deadline.</w:t>
      </w:r>
    </w:p>
    <w:p>
      <w:pPr>
        <w:pStyle w:val="Heading2"/>
        <w:spacing w:after="200"/>
      </w:pPr>
      <w:r>
        <w:t xml:space="preserve">Compliance Risk Scoring</w:t>
      </w:r>
    </w:p>
    <w:p>
      <w:pPr>
        <w:spacing w:after="200"/>
      </w:pPr>
      <w:r>
        <w:t xml:space="preserve">The E20 Brain calculates real-time compliance risk scores for contributions and contributors. Each contribution receives a risk score 0-100 reflecting compliance probability.</w:t>
      </w:r>
    </w:p>
    <w:p>
      <w:pPr>
        <w:spacing w:after="200"/>
      </w:pPr>
      <w:r>
        <w:t xml:space="preserve">Compliance risk scoring incorporates multiple dimensions: contribution source (domestic vs. foreign), contribution size (relative to typical contributions), contributor history (repeat contributors vs. first-time contributors), timing patterns (rapid sequential contributions vs. typical patterns), and occupation/employer industry classification.</w:t>
      </w:r>
    </w:p>
    <w:p>
      <w:pPr>
        <w:spacing w:after="200"/>
      </w:pPr>
      <w:r>
        <w:t xml:space="preserve">Contributions with high risk scores (70-100) are automatically flagged for manual review. Contributions with moderate risk scores (40-69) are flagged for supervisory attention. Low-risk contributions (0-39) proceed automatically through acceptance workflows.</w:t>
      </w:r>
    </w:p>
    <w:p>
      <w:pPr>
        <w:spacing w:after="300"/>
      </w:pPr>
      <w:r>
        <w:t xml:space="preserve">The system continuously updates risk scores as new information becomes available. If a contributor fails foreign national screening, the system automatically updates all contributions from that contributor to high-risk status.</w:t>
      </w:r>
    </w:p>
    <w:p>
      <w:pPr>
        <w:pStyle w:val="Heading2"/>
        <w:spacing w:after="200"/>
      </w:pPr>
      <w:r>
        <w:t xml:space="preserve">Donor Screening Automation</w:t>
      </w:r>
    </w:p>
    <w:p>
      <w:pPr>
        <w:spacing w:after="200"/>
      </w:pPr>
      <w:r>
        <w:t xml:space="preserve">The E20 Brain automatically screens all contributors against restricted contributor lists. At the point of contribution entry, the system executes screening checks against Office of Foreign Assets Control (OFAC) lists, identifying individuals and entities subject to U.S. sanctions.</w:t>
      </w:r>
    </w:p>
    <w:p>
      <w:pPr>
        <w:spacing w:after="200"/>
      </w:pPr>
      <w:r>
        <w:t xml:space="preserve">The system cross-references contributor addresses against foreign country lists, flagging contributions from individuals with non-U.S. addresses. The system requires manual verification of foreign-address contributions.</w:t>
      </w:r>
    </w:p>
    <w:p>
      <w:pPr>
        <w:spacing w:after="200"/>
      </w:pPr>
      <w:r>
        <w:t xml:space="preserve">Age verification screening identifies contributors with birth dates indicating age less than 18 years. Contributions from minor donors are automatically flagged and held in pending status pending parental consent documentation.</w:t>
      </w:r>
    </w:p>
    <w:p>
      <w:pPr>
        <w:spacing w:after="300"/>
      </w:pPr>
      <w:r>
        <w:t xml:space="preserve">The system maintains persistent flagging for contributors with prior screening failures. If a contributor was previously determined to be a foreign national, all contributions from that contributor automatically receive foreign national risk flagging.</w:t>
      </w:r>
    </w:p>
    <w:p>
      <w:pPr>
        <w:pStyle w:val="Heading2"/>
        <w:spacing w:after="200"/>
      </w:pPr>
      <w:r>
        <w:t xml:space="preserve">Deadline Alerting and Escalation</w:t>
      </w:r>
    </w:p>
    <w:p>
      <w:pPr>
        <w:spacing w:after="200"/>
      </w:pPr>
      <w:r>
        <w:t xml:space="preserve">The E20 Brain automatically calculates days remaining until filing deadlines and generates escalating alerts as deadlines approach. Sixty days before a deadline, the system sends an informational alert. Thirty days before deadline, the system sends a yellow-priority alert requiring acknowledgment. Seven days before deadline, the system sends a red-priority alert requiring immediate action.</w:t>
      </w:r>
    </w:p>
    <w:p>
      <w:pPr>
        <w:spacing w:after="200"/>
      </w:pPr>
      <w:r>
        <w:t xml:space="preserve">The system maintains an escalation queue tracking which campaigns have acknowledged or ignored deadline alerts. Campaigns that do not acknowledge red-priority alerts within 24 hours receive escalation notifications to senior campaign managers.</w:t>
      </w:r>
    </w:p>
    <w:p>
      <w:pPr>
        <w:spacing w:after="400"/>
      </w:pPr>
      <w:r>
        <w:t xml:space="preserve">The system automatically extends deadline alerts for filing amendments. When a filed report is identified as containing errors, the system alerts compliance staff to potential amendment requirements.</w:t>
      </w:r>
    </w:p>
    <w:p>
      <w:pPr>
        <w:pStyle w:val="Heading1"/>
        <w:spacing w:before="400" w:after="300"/>
      </w:pPr>
      <w:r>
        <w:t xml:space="preserve">SECTION 6: INSPINIA MAPPING — USER INTERFACE DESIGN FRAMEWORK</w:t>
      </w:r>
    </w:p>
    <w:p>
      <w:pPr>
        <w:spacing w:after="200"/>
      </w:pPr>
      <w:r>
        <w:t xml:space="preserve">The E10 Compliance Ecosystem leverages the Inspinia Bootstrap theme framework to provide responsive, accessible user interface components. The Inspinia framework provides pre-built UI components optimized for administrative dashboards and compliance management applications.</w:t>
      </w:r>
    </w:p>
    <w:p>
      <w:pPr>
        <w:pStyle w:val="Heading2"/>
        <w:spacing w:after="200"/>
      </w:pPr>
      <w:r>
        <w:t xml:space="preserve">Inspinia Color Scheme and Theme Support</w:t>
      </w:r>
    </w:p>
    <w:p>
      <w:pPr>
        <w:spacing w:after="200"/>
      </w:pPr>
      <w:r>
        <w:t xml:space="preserve">The Inspinia framework provides comprehensive theme support for both light and dark UI rendering. Light theme utilizes neutral whites and grays for backgrounds with black text for primary reading. Dark theme utilizes dark grays and charcoals for backgrounds with white text for contrast and reduced eye strain.</w:t>
      </w:r>
    </w:p>
    <w:p>
      <w:pPr>
        <w:spacing w:after="200"/>
      </w:pPr>
      <w:r>
        <w:t xml:space="preserve">Compliance status indicators utilize industry-standard color coding: green for compliant status, yellow for warning status, and red for critical status. These colors remain consistent across light and dark themes.</w:t>
      </w:r>
    </w:p>
    <w:p>
      <w:pPr>
        <w:pStyle w:val="Heading2"/>
        <w:spacing w:after="200"/>
      </w:pPr>
      <w:r>
        <w:t xml:space="preserve">Inspinia Chart Components</w:t>
      </w:r>
    </w:p>
    <w:p>
      <w:pPr>
        <w:spacing w:after="200"/>
      </w:pPr>
      <w:r>
        <w:t xml:space="preserve">The Inspinia framework provides chart components for compliance data visualization. Contribution limit tracking utilizes horizontal bar charts showing remaining capacity as percentage of maximum limits. Contribution distribution by category utilizes pie charts or donut charts for rapid visual comprehension.</w:t>
      </w:r>
    </w:p>
    <w:p>
      <w:pPr>
        <w:spacing w:after="200"/>
      </w:pPr>
      <w:r>
        <w:t xml:space="preserve">Filing timeline visualization utilizes timeline charts showing all required filings, completed filings, and overdue filings. Historical trend analysis utilizes line charts showing contribution trends across multiple reporting periods.</w:t>
      </w:r>
    </w:p>
    <w:p>
      <w:pPr>
        <w:pStyle w:val="Heading2"/>
        <w:spacing w:after="200"/>
      </w:pPr>
      <w:r>
        <w:t xml:space="preserve">Inspinia Table Components</w:t>
      </w:r>
    </w:p>
    <w:p>
      <w:pPr>
        <w:spacing w:after="200"/>
      </w:pPr>
      <w:r>
        <w:t xml:space="preserve">The Inspinia framework provides table components with integrated sorting, filtering, and pagination. All contribution lists, donor lists, and filing history lists utilize these table components for consistent user experience.</w:t>
      </w:r>
    </w:p>
    <w:p>
      <w:pPr>
        <w:pStyle w:val="Heading2"/>
        <w:spacing w:after="200"/>
      </w:pPr>
      <w:r>
        <w:t xml:space="preserve">Inspinia Form Components</w:t>
      </w:r>
    </w:p>
    <w:p>
      <w:pPr>
        <w:spacing w:after="200"/>
      </w:pPr>
      <w:r>
        <w:t xml:space="preserve">The Inspinia framework provides form components for contribution entry, donor information collection, and filing submission. Forms include validation rules, error messaging, and auto-save functionality.</w:t>
      </w:r>
    </w:p>
    <w:p>
      <w:pPr>
        <w:pStyle w:val="Heading2"/>
        <w:spacing w:after="200"/>
      </w:pPr>
      <w:r>
        <w:t xml:space="preserve">Inspinia Modal Components</w:t>
      </w:r>
    </w:p>
    <w:p>
      <w:pPr>
        <w:spacing w:after="400"/>
      </w:pPr>
      <w:r>
        <w:t xml:space="preserve">The Inspinia framework provides modal dialog components for confirmation prompts, error messages, and detailed information display. Contribution limit violation alerts display in modal dialogs with clear explanation and remediation options.</w:t>
      </w:r>
    </w:p>
    <w:p>
      <w:pPr>
        <w:pStyle w:val="Heading1"/>
        <w:spacing w:before="400" w:after="300"/>
      </w:pPr>
      <w:r>
        <w:t xml:space="preserve">SECTION 7: SEARCH, SORT, SAVE, AND ACTIVATE FUNCTIONS</w:t>
      </w:r>
    </w:p>
    <w:p>
      <w:pPr>
        <w:spacing w:after="300"/>
      </w:pPr>
      <w:r>
        <w:t xml:space="preserve">The E10 Compliance Ecosystem provides comprehensive search, sort, save, and activation functions enabling rapid access to compliance data and streamlined workflow management.</w:t>
      </w:r>
    </w:p>
    <w:p>
      <w:pPr>
        <w:pStyle w:val="Heading2"/>
        <w:spacing w:after="200"/>
      </w:pPr>
      <w:r>
        <w:t xml:space="preserve">Search Functions</w:t>
      </w:r>
    </w:p>
    <w:p>
      <w:pPr>
        <w:spacing w:after="200"/>
      </w:pPr>
      <w:r>
        <w:t xml:space="preserve">Full-text search functionality enables rapid location of contributions, contributors, and filings. Search queries accept multiple search criteria: contributor name, address, occupation, contribution amount, contribution date, filing type, filing date.</w:t>
      </w:r>
    </w:p>
    <w:p>
      <w:pPr>
        <w:spacing w:after="200"/>
      </w:pPr>
      <w:r>
        <w:t xml:space="preserve">Advanced search enables complex queries: "contributions over $5,000 from October 2024 to present", "contributions from [Occupation] category", "contributions flagged for refund", "filings with amendments".</w:t>
      </w:r>
    </w:p>
    <w:p>
      <w:pPr>
        <w:spacing w:after="300"/>
      </w:pPr>
      <w:r>
        <w:t xml:space="preserve">Search results display with relevance ranking, enabling users to quickly identify most relevant results. Search results include document preview panes enabling rapid determination of match relevance.</w:t>
      </w:r>
    </w:p>
    <w:p>
      <w:pPr>
        <w:pStyle w:val="Heading2"/>
        <w:spacing w:after="200"/>
      </w:pPr>
      <w:r>
        <w:t xml:space="preserve">Sort Functions</w:t>
      </w:r>
    </w:p>
    <w:p>
      <w:pPr>
        <w:spacing w:after="200"/>
      </w:pPr>
      <w:r>
        <w:t xml:space="preserve">All table displays support multi-column sorting. Users can sort contributions by contributor name, contribution amount, contribution date, or compliance status. Users can sort filings by filing date, filing type, or filing status.</w:t>
      </w:r>
    </w:p>
    <w:p>
      <w:pPr>
        <w:spacing w:after="300"/>
      </w:pPr>
      <w:r>
        <w:t xml:space="preserve">Reverse sorting enables identification of largest contributions, most recent contributions, and oldest outstanding filings. Default sort orders are context-specific: contribution tables default to date descending (most recent first), filing history tables default to date descending.</w:t>
      </w:r>
    </w:p>
    <w:p>
      <w:pPr>
        <w:pStyle w:val="Heading2"/>
        <w:spacing w:after="200"/>
      </w:pPr>
      <w:r>
        <w:t xml:space="preserve">Save Functions</w:t>
      </w:r>
    </w:p>
    <w:p>
      <w:pPr>
        <w:spacing w:after="200"/>
      </w:pPr>
      <w:r>
        <w:t xml:space="preserve">Users can save custom reports and dashboard layouts for repeated access. Saved reports enable rapid execution of standard compliance analyses.</w:t>
      </w:r>
    </w:p>
    <w:p>
      <w:pPr>
        <w:spacing w:after="200"/>
      </w:pPr>
      <w:r>
        <w:t xml:space="preserve">Export functions enable downloading contribution lists, filing history, and compliance reports in CSV, Excel, or PDF formats. Exported documents include all data and calculations necessary for external compliance analysis.</w:t>
      </w:r>
    </w:p>
    <w:p>
      <w:pPr>
        <w:spacing w:after="300"/>
      </w:pPr>
      <w:r>
        <w:t xml:space="preserve">Bookmark functionality enables users to save frequently-accessed reports and analyses for rapid retrieval. Bookmarks appear in persistent sidebar navigation.</w:t>
      </w:r>
    </w:p>
    <w:p>
      <w:pPr>
        <w:pStyle w:val="Heading2"/>
        <w:spacing w:after="200"/>
      </w:pPr>
      <w:r>
        <w:t xml:space="preserve">Activate Functions</w:t>
      </w:r>
    </w:p>
    <w:p>
      <w:pPr>
        <w:spacing w:after="200"/>
      </w:pPr>
      <w:r>
        <w:t xml:space="preserve">Activate functions enable submission of filings, acceptance of contributions, and execution of compliance workflows. Submit Filing activates the filing submission process, routing the draft filing to regulatory authority.</w:t>
      </w:r>
    </w:p>
    <w:p>
      <w:pPr>
        <w:spacing w:after="200"/>
      </w:pPr>
      <w:r>
        <w:t xml:space="preserve">Accept Contribution activates contribution acceptance, routing the contribution to the campaign account and updating aggregate contribution totals.</w:t>
      </w:r>
    </w:p>
    <w:p>
      <w:pPr>
        <w:spacing w:after="400"/>
      </w:pPr>
      <w:r>
        <w:t xml:space="preserve">Process Refund activates refund submission, initiating the return of contributions to donors. The system tracks refund status until completion confirmation is received.</w:t>
      </w:r>
    </w:p>
    <w:p>
      <w:pPr>
        <w:pStyle w:val="Heading1"/>
        <w:spacing w:before="400" w:after="300"/>
      </w:pPr>
      <w:r>
        <w:t xml:space="preserve">SECTION 8: CAMPAIGN CHIEF — DIALOGUE MANAGEMENT AND DECISION WORKFLOWS</w:t>
      </w:r>
    </w:p>
    <w:p>
      <w:pPr>
        <w:spacing w:after="300"/>
      </w:pPr>
      <w:r>
        <w:t xml:space="preserve">The E10 Compliance Ecosystem integrates with Campaign Chief, a dialogue management system designed to facilitate compliance decision-making through structured conversation workflows. Campaign Chief presents four core dialogue categories addressing critical compliance management tasks.</w:t>
      </w:r>
    </w:p>
    <w:p>
      <w:pPr>
        <w:pStyle w:val="Heading2"/>
        <w:spacing w:after="200"/>
      </w:pPr>
      <w:r>
        <w:t xml:space="preserve">Dialogue 1: Filing Deadline Notification and Response</w:t>
      </w:r>
    </w:p>
    <w:p>
      <w:pPr>
        <w:spacing w:after="100"/>
      </w:pPr>
      <w:r>
        <w:t xml:space="preserve">Campaign Chief displays: "Form 3 Quarterly Report Due in 7 Days - April 15, 2025"</w:t>
      </w:r>
    </w:p>
    <w:p>
      <w:pPr>
        <w:spacing w:after="200"/>
      </w:pPr>
      <w:r>
        <w:t xml:space="preserve">System Dialogue: "Your quarterly report is due April 15. Current filing status shows: 523 total contributions received, 18 contributions missing occupation/employer information, aggregate contribution calculation in progress. Would you like to: [1] Review Draft Report [2] Complete Missing Information [3] Delay Review Until Later [4] Contact Compliance Officer?"</w:t>
      </w:r>
    </w:p>
    <w:p>
      <w:pPr>
        <w:spacing w:after="200"/>
      </w:pPr>
      <w:r>
        <w:t xml:space="preserve">User selects Option 1 (Review Draft Report). System presents draft Form 3 Quarterly Report with all calculated line items. User reviews contribution totals, expenditure totals, and cash balance. System flags any potential errors: "Warning: 3 contributions lack occupation information. FEC may reject filing if occupation information not provided. Recommend completing missing information before submission."</w:t>
      </w:r>
    </w:p>
    <w:p>
      <w:pPr>
        <w:spacing w:after="300"/>
      </w:pPr>
      <w:r>
        <w:t xml:space="preserve">User can approve the draft for submission, request additional time to correct errors, or cancel filing until data is corrected. Campaign Chief logs all filing decisions and timestamps for compliance audit purposes.</w:t>
      </w:r>
    </w:p>
    <w:p>
      <w:pPr>
        <w:pStyle w:val="Heading2"/>
        <w:spacing w:after="200"/>
      </w:pPr>
      <w:r>
        <w:t xml:space="preserve">Dialogue 2: Compliance Risk Alert and Remediation</w:t>
      </w:r>
    </w:p>
    <w:p>
      <w:pPr>
        <w:spacing w:after="100"/>
      </w:pPr>
      <w:r>
        <w:t xml:space="preserve">Campaign Chief displays: "Compliance Risk Alert: Contribution Over Limit Detected"</w:t>
      </w:r>
    </w:p>
    <w:p>
      <w:pPr>
        <w:spacing w:after="200"/>
      </w:pPr>
      <w:r>
        <w:t xml:space="preserve">System Dialogue: "A contribution of $5,000 from [Donor Name] would exceed the $2,700 individual contribution limit. Current aggregate for this donor is $2,500, creating $5,200 excess. What action would you like to take: [1] Full Refund to Donor [2] Partial Refund (Limit Donor to $2,700 Total) [3] Request Donor Instruction on Allocation [4] Hold for Manual Review?"</w:t>
      </w:r>
    </w:p>
    <w:p>
      <w:pPr>
        <w:spacing w:after="200"/>
      </w:pPr>
      <w:r>
        <w:t xml:space="preserve">User selects Option 2 (Partial Refund). System calculates refund amount ($2,300 excess) and initiates refund processing. System sends automated email to donor: "Thank you for your contribution. We received a contribution of $5,000. However, due to federal contribution limits, we can only accept $200 of this contribution. We are refunding $4,800. Please contact our office if you have questions."</w:t>
      </w:r>
    </w:p>
    <w:p>
      <w:pPr>
        <w:spacing w:after="300"/>
      </w:pPr>
      <w:r>
        <w:t xml:space="preserve">Campaign Chief tracks refund status and notifies user when refund is completed. All compliance decisions are logged in audit trail.</w:t>
      </w:r>
    </w:p>
    <w:p>
      <w:pPr>
        <w:pStyle w:val="Heading2"/>
        <w:spacing w:after="200"/>
      </w:pPr>
      <w:r>
        <w:t xml:space="preserve">Dialogue 3: Donor Verification Requirements</w:t>
      </w:r>
    </w:p>
    <w:p>
      <w:pPr>
        <w:spacing w:after="100"/>
      </w:pPr>
      <w:r>
        <w:t xml:space="preserve">Campaign Chief displays: "Donor Information Incomplete: 23 Records Require Attention"</w:t>
      </w:r>
    </w:p>
    <w:p>
      <w:pPr>
        <w:spacing w:after="200"/>
      </w:pPr>
      <w:r>
        <w:t xml:space="preserve">System Dialogue: "Your contribution records show 23 contributions with missing occupation or employer information. FEC requires occupation and employer information for all contributions. Would you like to: [1] Contact Donors for Missing Information [2] Estimate Occupation from Available Data [3] Flag Contributions as Pending Information [4] Schedule Follow-up Call?"</w:t>
      </w:r>
    </w:p>
    <w:p>
      <w:pPr>
        <w:spacing w:after="200"/>
      </w:pPr>
      <w:r>
        <w:t xml:space="preserve">User selects Option 1 (Contact Donors). System generates automated email to identified donors: "Thank you for your contribution. To ensure compliance with federal requirements, please provide your occupation and employer information. You can respond to this email or call our office at [number]."</w:t>
      </w:r>
    </w:p>
    <w:p>
      <w:pPr>
        <w:spacing w:after="300"/>
      </w:pPr>
      <w:r>
        <w:t xml:space="preserve">Campaign Chief tracks response rate and sends reminder emails to non-responsive donors. As information is received, the system updates contribution records and recalculates compliance status. Campaign Chief can escalate non-responsive contributors to compliance staff for manual follow-up.</w:t>
      </w:r>
    </w:p>
    <w:p>
      <w:pPr>
        <w:pStyle w:val="Heading2"/>
        <w:spacing w:after="200"/>
      </w:pPr>
      <w:r>
        <w:t xml:space="preserve">Dialogue 4: Regulatory Change Notification and Adaptation</w:t>
      </w:r>
    </w:p>
    <w:p>
      <w:pPr>
        <w:spacing w:after="100"/>
      </w:pPr>
      <w:r>
        <w:t xml:space="preserve">Campaign Chief displays: "Regulatory Update: FEC Increases Contribution Limit for 2025-2026 Cycle"</w:t>
      </w:r>
    </w:p>
    <w:p>
      <w:pPr>
        <w:spacing w:after="200"/>
      </w:pPr>
      <w:r>
        <w:t xml:space="preserve">System Dialogue: "The Federal Election Commission has announced a 5% increase to individual contribution limits effective January 1, 2025. New limits are $2,850 per candidate per election (previously $2,700). Would you like to: [1] Update Contribution Limits in System [2] Review Impact on Current Contributions [3] Brief on New Limit Procedures [4] Contact FEC for Clarification?"</w:t>
      </w:r>
    </w:p>
    <w:p>
      <w:pPr>
        <w:spacing w:after="200"/>
      </w:pPr>
      <w:r>
        <w:t xml:space="preserve">User selects Option 1 (Update Contribution Limits). System automatically updates all contribution limit thresholds. System recalculates all donor aggregates under new limits and identifies any previously over-limit contributions that are now within limits (enabling reversed refunds).</w:t>
      </w:r>
    </w:p>
    <w:p>
      <w:pPr>
        <w:spacing w:after="200"/>
      </w:pPr>
      <w:r>
        <w:t xml:space="preserve">Campaign Chief generates notification to campaign staff: "Contribution limits have been updated. 2 previously over-limit contributions are now within limits. Refund reversals have been initiated. 5 donors who were previously at-limit now have increased remaining capacity of $150-300."</w:t>
      </w:r>
    </w:p>
    <w:p>
      <w:pPr>
        <w:spacing w:after="400"/>
      </w:pPr>
      <w:r>
        <w:t xml:space="preserve">Campaign Chief maintains a regulatory change log documenting all regulatory updates and system adaptations for compliance audit purposes.</w:t>
      </w:r>
    </w:p>
    <w:p>
      <w:pPr>
        <w:pStyle w:val="Heading1"/>
        <w:spacing w:before="400" w:after="300"/>
      </w:pPr>
      <w:r>
        <w:t xml:space="preserve">ECOSYSTEM SUMMARY AND INTEGRATION OVERVIEW</w:t>
      </w:r>
    </w:p>
    <w:p>
      <w:pPr>
        <w:spacing w:after="200"/>
      </w:pPr>
      <w:r>
        <w:t xml:space="preserve">The E10 Compliance Ecosystem represents a comprehensive implementation of political campaign compliance management, providing candidates, campaigns, and compliance professionals with integrated tools for contribution tracking, donor verification, filing management, and regulatory compliance.</w:t>
      </w:r>
    </w:p>
    <w:p>
      <w:pPr>
        <w:spacing w:after="200"/>
      </w:pPr>
      <w:r>
        <w:t xml:space="preserve">The eight-section architecture provides progressive layers of compliance capability: feature-parity mapping to the Aristotle platform, integrated user journey for candidate access, Command Center for operational control, Admin Panel for compliance analytics, E20 Brain integration for automation, Inspinia UI framework for responsive interface design, search/sort/save functions for data access, and Campaign Chief dialogue management for decision workflows.</w:t>
      </w:r>
    </w:p>
    <w:p>
      <w:pPr>
        <w:spacing w:after="200"/>
      </w:pPr>
      <w:r>
        <w:t xml:space="preserve">This ecosystem is designed to reduce compliance burden on campaigns, enable rapid detection of compliance issues, and support campaigns in maintaining robust compliance with all applicable federal and state campaign finance regulations.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2026-02-17T05:16:13.796Z</dcterms:created>
  <dcterms:modified xsi:type="dcterms:W3CDTF">2026-02-17T05:16:13.796Z</dcterms:modified>
</cp:coreProperties>
</file>

<file path=docProps/custom.xml><?xml version="1.0" encoding="utf-8"?>
<Properties xmlns="http://schemas.openxmlformats.org/officeDocument/2006/custom-properties" xmlns:vt="http://schemas.openxmlformats.org/officeDocument/2006/docPropsVTypes"/>
</file>