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E11 BUDGET ECOSYSTEM</w:t>
      </w:r>
    </w:p>
    <w:p>
      <w:pPr>
        <w:spacing w:after="200"/>
      </w:pPr>
      <w:r>
        <w:t xml:space="preserve">Cloned from QuickBooks Architecture</w:t>
      </w:r>
    </w:p>
    <w:p>
      <w:pPr>
        <w:spacing w:after="200"/>
      </w:pPr>
      <w:r>
        <w:t xml:space="preserve">BroyhillGOP Campaign Finance Management System</w:t>
      </w:r>
    </w:p>
    <w:r>
      <w:br w:type="page"/>
    </w:r>
    <w:p>
      <w:pPr>
        <w:pStyle w:val="Heading1"/>
        <w:spacing w:after="300"/>
      </w:pPr>
      <w:r>
        <w:t xml:space="preserve">TABLE OF CONTENTS</w:t>
      </w:r>
    </w:p>
    <w:p>
      <w:pPr>
        <w:spacing w:after="200"/>
      </w:pPr>
      <w:r>
        <w:t xml:space="preserve">1. APP CLONE AUDIT — QuickBooks Feature Mapping</w:t>
      </w:r>
    </w:p>
    <w:p>
      <w:pPr>
        <w:spacing w:after="200"/>
      </w:pPr>
      <w:r>
        <w:t xml:space="preserve">2. USER JOURNEY — Budget Overview &amp; Navigation</w:t>
      </w:r>
    </w:p>
    <w:p>
      <w:pPr>
        <w:spacing w:after="200"/>
      </w:pPr>
      <w:r>
        <w:t xml:space="preserve">3. COMMAND CENTER — Core Financial Operations</w:t>
      </w:r>
    </w:p>
    <w:p>
      <w:pPr>
        <w:spacing w:after="200"/>
      </w:pPr>
      <w:r>
        <w:t xml:space="preserve">4. ADMIN PANEL — Financial Analytics &amp; Monitoring</w:t>
      </w:r>
    </w:p>
    <w:p>
      <w:pPr>
        <w:spacing w:after="200"/>
      </w:pPr>
      <w:r>
        <w:t xml:space="preserve">5. E20 BRAIN INTEGRATION — AI-Powered Optimization</w:t>
      </w:r>
    </w:p>
    <w:p>
      <w:pPr>
        <w:spacing w:after="200"/>
      </w:pPr>
      <w:r>
        <w:t xml:space="preserve">6. INSPINIA MAPPING — UI/UX Framework Integration</w:t>
      </w:r>
    </w:p>
    <w:p>
      <w:pPr>
        <w:spacing w:after="200"/>
      </w:pPr>
      <w:r>
        <w:t xml:space="preserve">7. SEARCH/SORT/SAVE/ACTIVATE — Data Management</w:t>
      </w:r>
    </w:p>
    <w:p>
      <w:pPr>
        <w:spacing w:after="200"/>
      </w:pPr>
      <w:r>
        <w:t xml:space="preserve">8. CAMPAIGN CHIEF DIALOGS — Budget Alerts &amp; Optimization</w:t>
      </w:r>
    </w:p>
    <w:r>
      <w:br w:type="page"/>
    </w:r>
    <w:p>
      <w:pPr>
        <w:pStyle w:val="Heading1"/>
        <w:spacing w:after="300"/>
      </w:pPr>
      <w:r>
        <w:t xml:space="preserve">SECTION 1: APP CLONE AUDIT — QuickBooks Feature Mapping</w:t>
      </w:r>
    </w:p>
    <w:p>
      <w:pPr>
        <w:spacing w:after="200"/>
      </w:pPr>
      <w:r>
        <w:t xml:space="preserve">The E11 Budget Ecosystem represents a sophisticated adaptation of QuickBooks financial management architecture specifically tailored for campaign finance operations within the BroyhillGOP ecosystem. This section provides a comprehensive audit of QuickBooks features and their corresponding implementations in the campaign context.</w:t>
      </w:r>
    </w:p>
    <w:p>
      <w:pPr>
        <w:spacing w:after="200"/>
      </w:pPr>
      <w:r>
        <w:t xml:space="preserve">QuickBooks remains the gold standard for small to medium business financial management, providing robust accounting capabilities, reporting functionality, and integration with banking systems. The E11 Budget module incorporates the core principles of QuickBooks design while adapting them for the unique requirements of political campaign finance, where speed of reporting, FEC compliance, and real-time budget tracking are paramount.</w:t>
      </w:r>
    </w:p>
    <w:p>
      <w:pPr>
        <w:spacing w:after="200"/>
      </w:pPr>
      <w:r>
        <w:t xml:space="preserve">Chart of Accounts Implementation: In traditional QuickBooks, the Chart of Accounts serves as the foundational organizational structure for all financial transactions. For BroyhillGOP, this translates to campaign-specific expense categories including Personnel (Campaign Staff, Consultants, Temporary Workers), Media &amp; Advertising (Digital Ads, Television, Radio, Print), Events (Fundraising Events, Town Halls, Rallies), Travel &amp; Logistics (Candidate Travel, Staff Travel, Ground Transportation), Communications (Email Campaigns, Direct Mail, Polling), Office Operations (Rent, Utilities, Equipment), and Compliance &amp; Legal (FEC Filing, Legal Services, Audit Fees). This hierarchical structure enables granular tracking while maintaining compliance with campaign finance regulations.</w:t>
      </w:r>
    </w:p>
    <w:p>
      <w:pPr>
        <w:spacing w:after="200"/>
      </w:pPr>
      <w:r>
        <w:t xml:space="preserve">Budget Creation &amp; Planning Mirroring: QuickBooks provides comprehensive budget creation tools allowing businesses to forecast revenue and expenses across multiple dimensions. E11 adapts this functionality through Campaign Budget Planning features that enable campaign managers to establish total budget caps, allocate funds to specific initiatives, create milestone-based budgets tied to campaign phases (primary, general election runoff), establish seasonal spending patterns, and build scenario models for different electoral outcomes. The system supports both top-down budgeting (total budget allocation) and bottom-up budgeting (build from individual expense categories).</w:t>
      </w:r>
    </w:p>
    <w:p>
      <w:pPr>
        <w:spacing w:after="200"/>
      </w:pPr>
      <w:r>
        <w:t xml:space="preserve">Expense Tracking Architecture: The foundation of QuickBooks revolves around transaction logging and categorization. E11 implements a parallel system for campaign expense tracking that captures every expenditure, automatically assigns campaign finance categories, enables receipt and documentation attachment (critical for FEC audits), flags unusual patterns, and generates real-time reports on category-level spending. Each expense record includes timestamp, amount, vendor, category, subcategory, approver, and regulatory classification.</w:t>
      </w:r>
    </w:p>
    <w:p>
      <w:pPr>
        <w:spacing w:after="200"/>
      </w:pPr>
      <w:r>
        <w:t xml:space="preserve">Income Tracking Functionality: QuickBooks tracks revenue streams from sales, services, and other sources. For campaigns, E11 captures Donations Received (online, check, in-person, wire transfers with full donor compliance tracking), Event Revenue (ticket sales, merchandise, sponsorship), Merchandise Sales (campaign apparel and materials), In-Kind Contributions (value assignments for services, equipment, space), and Fund Transfers (transfers from other candidate committees or party committees). Each income source includes donor name, amount, date, contribution limits compliance checks, and regulatory filing requirements.</w:t>
      </w:r>
    </w:p>
    <w:p>
      <w:pPr>
        <w:spacing w:after="200"/>
      </w:pPr>
      <w:r>
        <w:t xml:space="preserve">Bank Reconciliation Processes: Critical QuickBooks functionality involves matching recorded transactions to bank statements, identifying discrepancies, and maintaining audit trails. E11 implements automated bank reconciliation that imports bank feeds from connected financial institutions, matches deposits and withdrawals to recorded transactions, highlights timing differences and uncleared items, provides exception reporting for anomalies, and maintains complete reconciliation history for audits. This process is essential for FEC certification and audit defense.</w:t>
      </w:r>
    </w:p>
    <w:p>
      <w:pPr>
        <w:spacing w:after="200"/>
      </w:pPr>
      <w:r>
        <w:t xml:space="preserve">Invoicing &amp; Payable Management: QuickBooks provides tools for creating invoices and tracking bills. E11 adapts this for campaigns through Consultant Invoice Processing that captures vendor invoices, tracks payment status (pending, approved, paid), manages payment scheduling, implements multi-level approval workflows, and maintains vendor communication trails. Bill Management functionality tracks ongoing obligations, generates payment reminders, and ensures timely processing for vendor relationships.</w:t>
      </w:r>
    </w:p>
    <w:p>
      <w:pPr>
        <w:spacing w:after="200"/>
      </w:pPr>
      <w:r>
        <w:t xml:space="preserve">Financial Reporting Suite: QuickBooks generates Profit &amp; Loss statements, Balance Sheets, and Cash Flow statements. For E11, this translates to Budget vs Actual Analysis comparing planned spending to actual disbursements by category and time period, Cash Flow Forecasting projecting future fund availability based on expected contributions and committed spending, P&amp;L equivalents showing campaign income sources and expense allocation, and Balance Sheet equivalents showing cash on hand, accounts receivable from promised donations, and accounts payable for committed vendor payments.</w:t>
      </w:r>
    </w:p>
    <w:p>
      <w:pPr>
        <w:spacing w:after="200"/>
      </w:pPr>
      <w:r>
        <w:t xml:space="preserve">Receipt Capture &amp; Documentation: QuickBooks increasingly emphasizes receipt and document capture for audit compliance. E11 implements Receipt Upload functionality allowing expense documentation (photos, PDFs, email confirmations) to be attached to every transaction, automatic optical character recognition for extraction of key data (amount, vendor, date), categorization suggestions based on receipt content, and archival in secure, audit-accessible format. This is critical for FEC audit defense where documentation burden is substantial.</w:t>
      </w:r>
    </w:p>
    <w:p>
      <w:pPr>
        <w:spacing w:after="200"/>
      </w:pPr>
      <w:r>
        <w:t xml:space="preserve">Mileage Tracking System: QuickBooks supports mileage tracking for home office deductions. Campaign Finance adapts this to Travel &amp; Mileage tracking capturing candidate and staff travel, automatic calculation of mileage reimbursement at IRS rates, categorization of travel purpose (fundraising, campaign event, personal return), and integration with campaign event calendar. This ensures compliant reimbursement and proper categorization between campaign and personal expenses.</w:t>
      </w:r>
    </w:p>
    <w:p>
      <w:pPr>
        <w:spacing w:after="200"/>
      </w:pPr>
      <w:r>
        <w:t xml:space="preserve">Payroll Integration: QuickBooks provides integrated payroll processing with tax withholding, deduction management, and regulatory reporting. E11 implements Staff Payroll functionality that manages campaign employee compensation, calculates employment tax withholding, maintains payroll records for multiple pay periods, ensures compliance with labor and campaign finance regulations, and generates W-2 and 1099 documentation. This is particularly important for FEC reporting which requires itemization of payments to vendors and staff.</w:t>
      </w:r>
    </w:p>
    <w:p>
      <w:pPr>
        <w:spacing w:after="200"/>
      </w:pPr>
      <w:r>
        <w:t xml:space="preserve">Tax Preparation Support: QuickBooks organizes financial data to simplify annual tax filing. For campaigns, E11 supports Tax Preparation through detailed FEC filing report generation, calculation of in-kind contribution values, documentation of non-campaign contributions, preparation of Form 8871 (political organization establishment), Form 1120-POL (tax return for political organizations), and support for state-level campaign finance filings. The system maintains all data in audit-ready format.</w:t>
      </w:r>
    </w:p>
    <w:p>
      <w:pPr>
        <w:spacing w:after="200"/>
      </w:pPr>
      <w:r>
        <w:t xml:space="preserve">Vendor Payment Management: QuickBooks tracks vendor payments and payment history. E11 implements Vendor Payments functionality providing 1099 tracking for vendors exceeding threshold amounts, payment status monitoring through bank feeds, automated payment scheduling, vendor communication and invoice reconciliation, and payment history analytics. This ensures both operational efficiency and regulatory compliance.</w:t>
      </w:r>
    </w:p>
    <w:p>
      <w:pPr>
        <w:spacing w:after="200"/>
      </w:pPr>
      <w:r>
        <w:t xml:space="preserve">Accounts Payable &amp; Receivable: Core QuickBooks functionality tracks money owed to vendors and owed by customers. E11 adapts this through Accounts Payable tracking committed vendor payments, managing payment schedules and terms, identifying aging payables requiring attention, and implementing multi-signature approval for large payments. Accounts Receivable tracks promised donations with commitment tracking, pledge fulfillment status, and automated follow-up reminders.</w:t>
      </w:r>
    </w:p>
    <w:p>
      <w:pPr>
        <w:spacing w:after="200"/>
      </w:pPr>
      <w:r>
        <w:t xml:space="preserve">Project &amp; Event Tracking: QuickBooks enables job costing and project tracking. E11 implements this through Event Tracking linking all expenses to specific campaign events (rallies, fundraisers, canvassing, debate watch parties), enabling event-level budgeting and ROI analysis, tracking event-specific revenue, and generating event financial summaries. Each event contains budget allocation, actual spending, revenue generated, and participant metrics.</w:t>
      </w:r>
    </w:p>
    <w:p>
      <w:pPr>
        <w:spacing w:after="200"/>
      </w:pPr>
      <w:r>
        <w:t xml:space="preserve">Time &amp; Activity Tracking: QuickBooks integrates time tracking for labor cost allocation. E11 implements Time Tracking for campaign staff documenting activity type (canvassing, phonebank, events, office administration), time allocation to specific campaigns or events, hourly rates for payroll integration, and productivity metrics. This enables accurate labor cost assignment and productivity analysis.</w:t>
      </w:r>
    </w:p>
    <w:p>
      <w:pPr>
        <w:spacing w:after="200"/>
      </w:pPr>
      <w:r>
        <w:t xml:space="preserve">Multi-User Access Control: QuickBooks provides role-based access permissions. E11 implements granular Multi-User Access enabling Campaign Manager (full financial access), Budget Admin (budget creation and monitoring), Accountant (reporting and reconciliation), Vendor Coordinator (invoice and payment processing), and Read-Only viewers (dashboard and reporting access). Each role has specific transaction and report permissions ensuring segregation of duties.</w:t>
      </w:r>
    </w:p>
    <w:p>
      <w:pPr>
        <w:spacing w:after="200"/>
      </w:pPr>
      <w:r>
        <w:t xml:space="preserve">Audit Trail &amp; Compliance: QuickBooks maintains complete audit trails of all transactions and changes. E11 implements comprehensive Audit Trail logging all financial actions (transaction entry, modification, deletion, approval), capturing user identity and timestamp, maintaining immutable records of all activity, enabling compliance review for FEC audits, and generating audit reports on demand. Every transaction includes who created it, when, what was changed, and approval chain.</w:t>
      </w:r>
    </w:p>
    <w:p>
      <w:pPr>
        <w:spacing w:after="200"/>
      </w:pPr>
      <w:r>
        <w:t xml:space="preserve">Custom Reporting Engine: QuickBooks supports extensive custom report creation. E11 provides Custom Reports functionality enabling campaign managers to build queries across all financial data, select dimensions (time, category, vendor, event), choose metrics (actual, budget, variance, trends), and export in multiple formats. This empowers non-technical stakeholders to generate insights without IT dependency.</w:t>
      </w:r>
    </w:p>
    <w:p>
      <w:pPr>
        <w:spacing w:after="200"/>
      </w:pPr>
      <w:r>
        <w:t xml:space="preserve">Dashboard &amp; Analytics Center: Modern QuickBooks emphasizes executive dashboards. E11 provides a sophisticated Dashboard showing total budget, total spent, remaining funds, burn rate, daily average spending, category breakdown, vendor spending, upcoming commitments, cash flow forecast, and key alerts. The dashboard is customizable, allowing users to pin relevant metrics and set alert thresholds.</w:t>
      </w:r>
    </w:p>
    <w:r>
      <w:br w:type="page"/>
    </w:r>
    <w:p>
      <w:pPr>
        <w:pStyle w:val="Heading1"/>
        <w:spacing w:after="300"/>
      </w:pPr>
      <w:r>
        <w:t xml:space="preserve">SECTION 2: USER JOURNEY — Budget Overview &amp; Navigation</w:t>
      </w:r>
    </w:p>
    <w:p>
      <w:pPr>
        <w:spacing w:after="200"/>
      </w:pPr>
      <w:r>
        <w:t xml:space="preserve">The primary user journey within E11 begins the moment a campaign manager opens the application on their device. The experience is designed to immediately answer the most critical questions a candidate or finance director asks multiple times daily: How much money do we have? How much have we spent? How much time do we have left before we run out of money? What are the critical alerts requiring immediate attention?</w:t>
      </w:r>
    </w:p>
    <w:p>
      <w:pPr>
        <w:spacing w:after="200"/>
      </w:pPr>
      <w:r>
        <w:t xml:space="preserve">Initial Dashboard Load: Upon opening E11, the candidate or campaign finance director is immediately presented with the Budget Overview page. This page loads in under 2 seconds even on poor cellular connections, displaying the four primary metrics prominently above the fold: Total Budget (the maximum authorized spending across all campaign accounts), Total Spent to Date (cumulative actual expenditures), Remaining Budget (total budget minus actual spending), and Burn Rate (daily average spending calculated from recent transaction history). These metrics are color-coded (green for healthy budget remaining, yellow for caution when remaining budget is less than 30 days of spending at current burn rate, red for critical when less than 14 days remains).</w:t>
      </w:r>
    </w:p>
    <w:p>
      <w:pPr>
        <w:spacing w:after="200"/>
      </w:pPr>
      <w:r>
        <w:t xml:space="preserve">Calculation of Burn Rate Metric: The burn rate calculation represents a critical innovation in campaign finance management. The system analyzes the last 30 days of actual spending, calculates the daily average, and projects this forward assuming spending patterns remain constant. If a campaign has spent $300,000 over the last 30 days, the burn rate is $10,000 per day. With $150,000 remaining in the budget, this indicates 15 days of spending runway at current burn rates. This metric is continuously updated and forms the basis for cash flow warnings.</w:t>
      </w:r>
    </w:p>
    <w:p>
      <w:pPr>
        <w:spacing w:after="200"/>
      </w:pPr>
      <w:r>
        <w:t xml:space="preserve">Category Breakdown Visualization: Below the primary metrics, the dashboard displays a horizontal bar chart or donut chart showing the breakdown of spending by category. The most commonly used categories are displayed with percentage allocation: Personnel (typically 40-60% of campaign budgets), Media &amp; Advertising (typically 20-40%), Travel &amp; Events (typically 10-20%), Office &amp; Operations (typically 5-10%), and Other (typically 5-10%). Users can click on any category to drill down into subcategory details or specific transactions.</w:t>
      </w:r>
    </w:p>
    <w:p>
      <w:pPr>
        <w:spacing w:after="200"/>
      </w:pPr>
      <w:r>
        <w:t xml:space="preserve">Category Allocation Visualization: Users also see a comparison of planned vs actual spending for each major category. For example, if Personnel was budgeted at $500,000 and actual spending is $450,000, the visualization shows 90% of budget spent (in green indicating on-track). If Personnel shows 95% spent with only 10 days left in the campaign, the system flags this as approaching overspend. Users can immediately understand budget execution status by category.</w:t>
      </w:r>
    </w:p>
    <w:p>
      <w:pPr>
        <w:spacing w:after="200"/>
      </w:pPr>
      <w:r>
        <w:t xml:space="preserve">Alert System &amp; Notifications: The dashboard prominently displays any active alerts or warnings requiring immediate attention. These alerts fall into several categories: Budget Overspend (a category or total spending has exceeded planned budget), Cash Flow Warning (remaining budget represents less than 14 days of current spending), Approval Pending (outstanding invoices or expense approvals pending review), Bank Reconciliation Required (recent transactions not yet reconciled to bank statements), Vendor Payment Overdue (scheduled payments that have not been processed), and Donation Pledge Due (promised contributions that have not been received). Each alert includes severity level, affected category or vendor, and recommended action.</w:t>
      </w:r>
    </w:p>
    <w:p>
      <w:pPr>
        <w:spacing w:after="200"/>
      </w:pPr>
      <w:r>
        <w:t xml:space="preserve">Quick Action Menu: From the dashboard, users can access quick action buttons for the most common tasks: Log Expense (add a new expenditure with receipt), Record Donation (log a new contribution), Upload Receipt (attach documentation to existing transaction), View Detailed Report (access custom financial reports), Create Budget (set up or modify budget allocations), Approve Pending Items (process outstanding approvals), and View Cash Flow Forecast (see projected cash position). These quick actions accelerate workflow and reduce navigation friction.</w:t>
      </w:r>
    </w:p>
    <w:p>
      <w:pPr>
        <w:spacing w:after="200"/>
      </w:pPr>
      <w:r>
        <w:t xml:space="preserve">Secondary Navigation: The primary navigation menu provides access to major sections: Dashboard (default view with metrics and alerts), Budget Management (create, modify, and monitor budgets), Expense Tracking (log and categorize expenditures), Income Management (record contributions and transfers), Vendor Management (maintain vendor database and process payments), Reports (access financial reports and analytics), Settings (configure user access and system preferences), and Help (access documentation and support). The navigation adapts based on user role, showing only accessible sections.</w:t>
      </w:r>
    </w:p>
    <w:p>
      <w:pPr>
        <w:spacing w:after="200"/>
      </w:pPr>
      <w:r>
        <w:t xml:space="preserve">Budget Management Navigation: Users navigating to Budget Management can Create New Budget (set up campaign-wide or initiative-specific budgets), select from Budget Templates (pre-built budgets for common scenarios like primary election vs general election), set up Category-based allocation (assign budget to specific expense categories), create Milestone Budgets (allocate funds to campaign phases), and build Scenario Plans (model different electoral outcomes). Each budget creation process includes validation to ensure total allocations do not exceed authorization and compliance with campaign finance limits.</w:t>
      </w:r>
    </w:p>
    <w:p>
      <w:pPr>
        <w:spacing w:after="200"/>
      </w:pPr>
      <w:r>
        <w:t xml:space="preserve">Expense Management Navigation: Within Expense Tracking, users can Log Expense (create new transaction with details), Upload Receipt (attach supporting documentation), Categorize Transactions (assign account codes and categories), trigger Approval Workflows (route for review and authorization), and assign to Vendors (link to vendor master record). The system provides suggested categories based on description text and payment method, reducing user burden. Recurring expenses can be set up to auto-populate (monthly rent, subscription services, standing committee dues).</w:t>
      </w:r>
    </w:p>
    <w:p>
      <w:pPr>
        <w:spacing w:after="200"/>
      </w:pPr>
      <w:r>
        <w:t xml:space="preserve">Income Tracking Navigation: Users managing donations and income navigate to Income Management to Record Donation (capture contribution with donor details), assign Contribution Type (cash, check, online, in-kind), verify Compliance (check against donor limits and restrictions), assign Event if applicable (link to specific fundraiser), and add Notes (record any donor communication). The system automatically calculates cumulative donations per donor and warns if limits are being approached.</w:t>
      </w:r>
    </w:p>
    <w:p>
      <w:pPr>
        <w:spacing w:after="200"/>
      </w:pPr>
      <w:r>
        <w:t xml:space="preserve">Vendor Management Navigation: The Vendor Management section enables users to Maintain Vendor Directory (create and update vendor records), Process Invoices (receive and validate vendor bills), Create Payment Queue (schedule payments with approval routing), and Track 1099 Reporting (monitor vendors requiring tax forms). Each vendor record includes contact information, tax ID, payment history, outstanding balance, and contact preferences. The system can automatically process recurring vendor payments (payroll, rent, subscriptions).</w:t>
      </w:r>
    </w:p>
    <w:p>
      <w:pPr>
        <w:spacing w:after="200"/>
      </w:pPr>
      <w:r>
        <w:t xml:space="preserve">Reports Navigation: Financial Reports section provides access to Budget vs Actual Analysis (compare budgeted to actual spending with variance analysis), Cash Flow Forecast (project future cash position), Category Breakdown (detailed spending by account code), Burn Rate Analysis (historical spending trends and projections), Runway Projection (estimate days until budget exhaustion), Vendor Performance (spending by vendor and payment timeliness), FEC Compliance Report (generate mandated disclosures), and Custom Reports (build queries across all financial data). Reports can be filtered by date range, category, vendor, or event, and exported in PDF, Excel, or CSV formats.</w:t>
      </w:r>
    </w:p>
    <w:p>
      <w:pPr>
        <w:spacing w:after="200"/>
      </w:pPr>
      <w:r>
        <w:t xml:space="preserve">Mobile Navigation Experience: On mobile devices, the navigation adapts to touch-friendly interface with larger tap targets, simplified menus with common actions prominently displayed, single-column layout for readability, and bottom tab bar providing quick access to Dashboard, Log Expense, Income, Vendors, and Reports. Mobile version prioritizes critical functions (viewing budget status, logging quick expenses) over less-critical administrative tasks.</w:t>
      </w:r>
    </w:p>
    <w:p>
      <w:pPr>
        <w:spacing w:after="200"/>
      </w:pPr>
      <w:r>
        <w:t xml:space="preserve">Search &amp; Filter Functionality: Throughout the application, users can search and filter transactions by multiple dimensions: date range (today, week, month, custom range), category (select one or multiple), vendor, amount (range-based), transaction type, approval status, and event. Searches provide real-time results with count of matching transactions. Advanced filters can be saved and reused.</w:t>
      </w:r>
    </w:p>
    <w:p>
      <w:pPr>
        <w:spacing w:after="200"/>
      </w:pPr>
      <w:r>
        <w:t xml:space="preserve">Settings &amp; Preferences: User Settings allow configuration of display preferences (light/dark mode, metric units), notification settings (what alerts generate notifications and delivery method), report distribution (automatic report scheduling and email delivery), user access permissions (for administrators), and data backup settings. These preferences persist across devices and login sessions.</w:t>
      </w:r>
    </w:p>
    <w:p>
      <w:pPr>
        <w:spacing w:after="200"/>
      </w:pPr>
      <w:r>
        <w:t xml:space="preserve">Voice Command Integration: Advanced users can utilize voice commands to log expenses, ask budget questions, and retrieve reports. Voice commands support natural language queries like "How much have we spent on media?" or "Log expense to Vendors Media Firm for $5000" and system responds with answers or confirmation. This accelerates workflow particularly when users are multitasking or away from keyboard.</w:t>
      </w:r>
    </w:p>
    <w:p>
      <w:pPr>
        <w:spacing w:after="200"/>
      </w:pPr>
      <w:r>
        <w:t xml:space="preserve">Real-time Sync: The application syncs across all user devices in real time. When expense is approved on desktop, mobile app immediately reflects updated budget. When user checks budget on phone in the field, they see most recent data including transactions from colleagues who just logged expenses moments earlier. Sync uses efficient delta protocols to minimize bandwidth and battery impact.</w:t>
      </w:r>
    </w:p>
    <w:p>
      <w:pPr>
        <w:spacing w:after="200"/>
      </w:pPr>
      <w:r>
        <w:t xml:space="preserve">Offline Capability: Campaign staff can log expenses and record donations even without internet connectivity. The app stores pending transactions locally and syncs them to server when connectivity is restored. This is critical for campaign events in rural areas or during events where connectivity is intermittent. Offline mode prevents data loss and ensures workflow continuity.</w:t>
      </w:r>
    </w:p>
    <w:r>
      <w:br w:type="page"/>
    </w:r>
    <w:p>
      <w:pPr>
        <w:pStyle w:val="Heading1"/>
        <w:spacing w:after="300"/>
      </w:pPr>
      <w:r>
        <w:t xml:space="preserve">SECTION 3: COMMAND CENTER — Core Financial Operations</w:t>
      </w:r>
    </w:p>
    <w:p>
      <w:pPr>
        <w:spacing w:after="200"/>
      </w:pPr>
      <w:r>
        <w:t xml:space="preserve">The Command Center represents the operational heart of E11, providing a comprehensive interface for managing all campaign financial activities. This section details each operational module, its field structure, data sources, and functional capabilities.</w:t>
      </w:r>
    </w:p>
    <w:p>
      <w:pPr>
        <w:pStyle w:val="Heading2"/>
        <w:spacing w:after="300"/>
      </w:pPr>
      <w:r>
        <w:t xml:space="preserve">BUDGET BUILDER MODULE</w:t>
      </w:r>
    </w:p>
    <w:p>
      <w:pPr>
        <w:spacing w:after="200"/>
      </w:pPr>
      <w:r>
        <w:t xml:space="preserve">Create Budget: The budget creation interface guides users through establishing financial limits and allocations. Field Structure includes Budget Name (text field for user-identified budget label), Total Authorization (numeric field for maximum authorized spending), Start Date (date picker for budget period beginning), End Date (date picker for budget period ending), Description (text area for budget documentation), and Status (active/inactive toggle). Upon creation, the system automatically calculates budget tracking metrics and initializes category allocations to zero.</w:t>
      </w:r>
    </w:p>
    <w:p>
      <w:pPr>
        <w:spacing w:after="200"/>
      </w:pPr>
      <w:r>
        <w:t xml:space="preserve">Budget Templates: Pre-built templates accelerate budget creation for common campaign scenarios. Template Library includes Primary Election Budget (typically shorter timeline, concentrated spending on early states), General Election Budget (longer runway, more spending on final 60 days), Runoff Election Budget (concentrated spending in final two weeks), Special Election Budget (compressed timeline), and Issue Advocacy Budget (non-candidate spending following different rules). Each template provides suggested category allocations as percentages of total budget based on historical campaign data. Users select a template, input total budget, and system auto-populates category allocations which can be manually adjusted.</w:t>
      </w:r>
    </w:p>
    <w:p>
      <w:pPr>
        <w:spacing w:after="200"/>
      </w:pPr>
      <w:r>
        <w:t xml:space="preserve">Category Setup: Budget categories define the organizational structure for tracking spending. Field Structure for Category Definition includes Category Code (unique identifier like PERS, MEDI, TRAV), Category Name (user-readable label like "Personnel", "Media", "Travel"), Parent Category (for hierarchical organization), Budget Allocation (dollar amount or percentage assigned to category), Burn Rate Limit (optional daily spending ceiling for category), Over-Budget Threshold (percentage variance that triggers alert), and Description (explanation of category scope). Categories are hierarchical, allowing Personnel to contain subcategories for Salary, Consulting, Temporary Staff, and Payroll Taxes.</w:t>
      </w:r>
    </w:p>
    <w:p>
      <w:pPr>
        <w:spacing w:after="200"/>
      </w:pPr>
      <w:r>
        <w:t xml:space="preserve">Milestone Budgets: Campaigns benefit from allocating budgets to specific phases or milestones. Milestone Definition includes Milestone Name (descriptive label), Duration (start and end date), Budget Allocation (amount available for this period), Category Allocation (how milestone budget distributes across categories), Success Criteria (optional metrics defining milestone achievement), and Spending Priority (which categories should spend first if budget is constrained). Campaign can define milestones like Q1 Grassroots Phase (Jan-Mar, $100k), Q2 Digital Ramp (Apr-Jun, $200k), Q3 Media Blitz (Jul-Sept, $300k), and Q4 Ground Game (Oct-Election, $250k).</w:t>
      </w:r>
    </w:p>
    <w:p>
      <w:pPr>
        <w:spacing w:after="200"/>
      </w:pPr>
      <w:r>
        <w:t xml:space="preserve">Scenario Planning: Financial planning benefits from modeling alternative outcomes. Scenario Definition includes Scenario Name (user-identified label), Base Budget (starting point for scenario), Assumption Document (explanation of scenario logic), Category Modifications (adjustments to category allocations), Timeline Adjustments (changes to spending phase duration), and Expected Outcomes (projected impact of scenario). Campaign can model scenarios like Conservative Spend (assumes lower fundraising, reduces Media and Events spending), Aggressive Expansion (assumes strong fundraising, increases all major categories), Runoff Contingency (assumes primary election goes to runoff, reallocates budget), and Victory Surge (assumes late momentum, concentrates spending in final period).</w:t>
      </w:r>
    </w:p>
    <w:p>
      <w:pPr>
        <w:pStyle w:val="Heading2"/>
        <w:spacing w:after="300"/>
      </w:pPr>
      <w:r>
        <w:t xml:space="preserve">EXPENSE MANAGEMENT MODULE</w:t>
      </w:r>
    </w:p>
    <w:p>
      <w:pPr>
        <w:spacing w:after="200"/>
      </w:pPr>
      <w:r>
        <w:t xml:space="preserve">Log Expense: Adding new expenditures is the most frequent action in E11. Expense Entry Form includes Transaction Date (date of expenditure, required field), Vendor (dropdown selection from vendor directory, with ability to create new), Amount (transaction value, numeric field), Category (dropdown with available categories, required field), Subcategory (if applicable, further specification), Description (explanation of expense purpose), Transaction Type (payment method: check, ACH, credit card, cash), Receipt Number (if applicable), and Approval Required (flag indicating if approval is needed before posting). The system provides real-time validation checking amount against budget, flagging if category or total would be exceeded. Suggested categories appear based on vendor history.</w:t>
      </w:r>
    </w:p>
    <w:p>
      <w:pPr>
        <w:spacing w:after="200"/>
      </w:pPr>
      <w:r>
        <w:t xml:space="preserve">Receipt Upload: Documentation is mandatory for FEC compliance. Upload Interface allows single or batch receipt upload via file selection or drag-drop, displays preview of uploaded images (PDF, JPG, PNG formats supported), applies optical character recognition to extract transaction details (amount, vendor, date), presents extracted data for user confirmation, and stores receipt in encrypted archive with transaction link. Batch upload enables uploading multiple receipts simultaneously, with system auto-matching to recent transactions by amount and date. Failed matches flag for manual review.</w:t>
      </w:r>
    </w:p>
    <w:p>
      <w:pPr>
        <w:spacing w:after="200"/>
      </w:pPr>
      <w:r>
        <w:t xml:space="preserve">Categorize: Categorization ensures proper reporting and budget tracking. Categorization Interface displays uncategorized or miscategorized transactions, presents category suggestions based on vendor, description, and history, allows user selection from suggested options or manual category assignment, enables bulk categorization of multiple similar transactions, and validates that categorization is compliant with FEC guidelines. The system learns user preferences and improves suggestions over time through machine learning.</w:t>
      </w:r>
    </w:p>
    <w:p>
      <w:pPr>
        <w:spacing w:after="200"/>
      </w:pPr>
      <w:r>
        <w:t xml:space="preserve">Approve/Reject: Multi-level approval workflows ensure compliance and control. Approval Workflow includes Transaction Submission (user submits transaction with documentation), Approval Queue (transactions waiting for review are displayed), Approval Interface (approver views transaction, receipt, category, and budget impact), Approval Decision (approve, request changes, or reject), and Approval History (complete audit trail of approval chain). Transactions can require multiple approval levels based on amount (expenses over $10,000 may require executive approval). Approval notifications are sent via email and in-app, with escalation reminders for delayed approvals.</w:t>
      </w:r>
    </w:p>
    <w:p>
      <w:pPr>
        <w:spacing w:after="200"/>
      </w:pPr>
      <w:r>
        <w:t xml:space="preserve">Vendor Assignment: Linking transactions to vendors enables vendor analytics. Vendor Assignment allows selection of existing vendor from master directory, creation of new vendor record if not found, and automatic vendor identification for recurring expenses. Each transaction is tracked to vendor, enabling spend by vendor reporting, vendor payment history, and vendor performance analysis. Vendor consolidation tools identify and merge duplicate vendor records.</w:t>
      </w:r>
    </w:p>
    <w:p>
      <w:pPr>
        <w:pStyle w:val="Heading2"/>
        <w:spacing w:after="300"/>
      </w:pPr>
      <w:r>
        <w:t xml:space="preserve">INCOME TRACKING MODULE</w:t>
      </w:r>
    </w:p>
    <w:p>
      <w:pPr>
        <w:spacing w:after="200"/>
      </w:pPr>
      <w:r>
        <w:t xml:space="preserve">Donations Received: Recording contributions is critical for fundraising and FEC compliance. Donation Entry Form includes Contributor Name (individual or entity providing contribution), Contribution Amount (numeric field, required), Contribution Date (date contribution was received or committed), Contribution Type (cash, check, online, wire, in-kind), Payment Method (details on how contribution was received), Donor ID (unique identifier for donor tracking), Occupation/Employer (required by FEC for donations over $200), Address (required for compliance verification), Email (optional for donor communication), and Contribution Notes (any special conditions or restrictions). The system automatically validates contribution against individual contribution limits ($3,300 per election for federal campaigns), alerts if donor has previously maxed out, and flags contributions from prohibited sources (foreign nationals, corporations, unions, federal contractors). Contribution receipt generation is automated for donor confirmation.</w:t>
      </w:r>
    </w:p>
    <w:p>
      <w:pPr>
        <w:spacing w:after="200"/>
      </w:pPr>
      <w:r>
        <w:t xml:space="preserve">Event Revenue: Campaign events often generate revenue through ticket sales or sponsorships. Event Revenue Entry includes Event Name (link to specific campaign event), Revenue Type (ticket sales, merchandise, sponsorship, other), Amount (total revenue from event), Payer Name (individual or company providing revenue), Payer Category (event attendee, sponsor, merchandise purchaser), Payment Date (when payment was received), Payment Method (cash, check, online, other), and Event Outcome Notes (attendance, key supporters, future potential). The system automatically allocates event revenue to Event category in budget, enabling event profitability analysis. Revenue can be split across categories if event serves multiple purposes.</w:t>
      </w:r>
    </w:p>
    <w:p>
      <w:pPr>
        <w:spacing w:after="200"/>
      </w:pPr>
      <w:r>
        <w:t xml:space="preserve">Merchandise Sales: Campaign merchandise provides minor revenue and voter engagement. Merchandise Entry includes Item Description (shirt, hat, sticker, literature, etc.), Unit Quantity Sold (number of items sold), Unit Price (revenue per item), Total Revenue (quantity x price), Sales Date (when merchandise was sold), Sales Venue (event, online, volunteer house, etc.), and Cost of Goods (for net revenue calculation). The system tracks merchandise inventory if detailed tracking is desired, but typically focuses on revenue recognition. Revenue is allocated to appropriate account code.</w:t>
      </w:r>
    </w:p>
    <w:p>
      <w:pPr>
        <w:spacing w:after="200"/>
      </w:pPr>
      <w:r>
        <w:t xml:space="preserve">In-Kind Contributions: Non-monetary contributions must be valued and reported. In-Kind Entry includes Contribution Description (type of service, equipment, or resource provided), Provider Name (individual or organization providing in-kind), Estimated Value (dollar value assigned to contribution), Valuation Method (FMV - fair market value, comparison to commercial services, expert appraisal), Contribution Type (professional services, advertising value, equipment loan, volunteer time), Usage Description (how contribution will be used in campaign), and Compliance Notes (FEC valuation rules for specific in-kind types). The system provides valuation guidelines for common in-kind contributions (media production, legal services, polling, graphics, website development). In-kind contributions above threshold amounts are reported separately in FEC filings.</w:t>
      </w:r>
    </w:p>
    <w:p>
      <w:pPr>
        <w:spacing w:after="200"/>
      </w:pPr>
      <w:r>
        <w:t xml:space="preserve">Transfers: Campaign committees may transfer funds to/from other authorized committees. Transfer Entry includes Transfer Amount (numeric field), Transfer Direction (to/from), Related Committee (name and ID of other committee), Transfer Purpose (consolidation, strategic allocation, compliance requirement), Transfer Date (when transfer occurred or will occur), Approval Status (pending, approved, completed), and Compliance Notes (explanation of transfer legality under FEC rules). The system validates that transfers comply with FEC limits and rules for related committees, and ensures both sides of transfer are recorded for audit integrity.</w:t>
      </w:r>
    </w:p>
    <w:p>
      <w:pPr>
        <w:pStyle w:val="Heading2"/>
        <w:spacing w:after="300"/>
      </w:pPr>
      <w:r>
        <w:t xml:space="preserve">VENDOR MANAGEMENT MODULE</w:t>
      </w:r>
    </w:p>
    <w:p>
      <w:pPr>
        <w:spacing w:after="200"/>
      </w:pPr>
      <w:r>
        <w:t xml:space="preserve">Vendor Directory: The vendor database is critical for tracking relationships and payment history. Vendor Record Structure includes Vendor Name (legal business name), Vendor Type (consultant, media firm, ad agency, print vendor, polling firm, event coordinator, travel, technology, etc.), Contact Person (primary contact name and title), Phone (business phone number), Email (business email address), Address (business mailing address), Tax ID (EIN for 1099 reporting), Payment Terms (due date requirements, accepted payment methods), Average Invoice Amount (typical transaction size), Annual Spend (calculated from transaction history), Last Payment Date (most recent payment), and Notes (special handling requirements, contract terms, service level). Vendor records are updated each time a transaction is processed, keeping information current.</w:t>
      </w:r>
    </w:p>
    <w:p>
      <w:pPr>
        <w:spacing w:after="200"/>
      </w:pPr>
      <w:r>
        <w:t xml:space="preserve">Invoice Processing: Managing vendor bills requires structured workflow. Invoice Entry includes Vendor Selection (from directory), Invoice Number (vendor-assigned identifier), Invoice Date (date invoice was issued), Amount (total invoice value), Due Date (payment deadline), Description (itemized services or products provided), PO Number (if applicable, purchase order reference), Category Assignment (which budget category to charge), GL Account (general ledger account for accounting), and Supporting Documentation (attachments or file references). Upon invoice receipt, system automatically matches to purchase orders if they exist, validates amount is within authorization limits, and routes for approval. Invoices can be scheduled for payment before due date, or held for review if questioned.</w:t>
      </w:r>
    </w:p>
    <w:r>
      <w:br w:type="page"/>
    </w:r>
    <w:p>
      <w:pPr>
        <w:pStyle w:val="Heading1"/>
        <w:spacing w:after="300"/>
      </w:pPr>
      <w:r>
        <w:t xml:space="preserve">SECTION 4: ADMIN PANEL — Financial Analytics &amp; Monitoring</w:t>
      </w:r>
    </w:p>
    <w:p>
      <w:pPr>
        <w:spacing w:after="200"/>
      </w:pPr>
      <w:r>
        <w:t xml:space="preserve">The Admin Panel provides campaign leadership with comprehensive visibility into campaign finances, enabling data-driven decision-making and proactive management. This section details the analytics capabilities and monitoring dashboards available to administrators.</w:t>
      </w:r>
    </w:p>
    <w:p>
      <w:pPr>
        <w:pStyle w:val="Heading2"/>
        <w:spacing w:after="300"/>
      </w:pPr>
      <w:r>
        <w:t xml:space="preserve">FINANCIAL OVERVIEW DASHBOARD</w:t>
      </w:r>
    </w:p>
    <w:p>
      <w:pPr>
        <w:spacing w:after="200"/>
      </w:pPr>
      <w:r>
        <w:t xml:space="preserve">Total Budget Display: The Total Budget metric displays the maximum authorized spending across all campaign accounts and committees. This figure is established during campaign setup and may be adjusted if additional fundraising succeeds or if authorization is reduced. Display Format shows Budget Total as prominent figure with comparison to previous period if available, percentage of authorization used to date, and trending indicator showing whether total authorized budget has increased or decreased. The metric links to source of authorization (candidate personal funds, party allocation, PAC coordination, etc.) with supporting documentation.</w:t>
      </w:r>
    </w:p>
    <w:p>
      <w:pPr>
        <w:spacing w:after="200"/>
      </w:pPr>
      <w:r>
        <w:t xml:space="preserve">Total Spent Display: Total Spent shows cumulative actual expenditures across all approved transactions. This figure represents money that has left campaign accounts and been spent. Display Format shows Total Spent as large metric with comparison to budgeted amount, percentage of total budget spent, and acceleration indicator showing whether spending is accelerating or decelerating. The metric breaks down by category showing largest expenditure categories. Links enable drill-down to identify top vendors and spending trends.</w:t>
      </w:r>
    </w:p>
    <w:p>
      <w:pPr>
        <w:spacing w:after="200"/>
      </w:pPr>
      <w:r>
        <w:t xml:space="preserve">Remaining Budget Display: Remaining Budget shows Total Budget minus Total Spent, representing available funds for future spending. Display Format emphasizes this critical metric as prominent figure, shows as absolute dollars and as percentage of total budget, displays trend showing whether remaining budget is decreasing faster than expected, and highlights color-coded status (green if more than 30 days of spending remaining, yellow if 14-30 days, red if less than 14 days). The metric indicates whether campaign is on track, ahead, or behind spending plan.</w:t>
      </w:r>
    </w:p>
    <w:p>
      <w:pPr>
        <w:spacing w:after="200"/>
      </w:pPr>
      <w:r>
        <w:t xml:space="preserve">Burn Rate Display: Burn Rate shows daily average spending calculated from recent transaction history. Display Format shows burn rate as $/day metric, compares actual burn rate to budgeted burn rate, displays trend showing acceleration or deceleration, and highlights variance between planned and actual burn rates. Historical burn rate graph shows daily spending trends over past 30/60/90 days, enabling identification of spending acceleration (often in final weeks before election). Burn rate is clickable to drill into top spending categories driving the rate.</w:t>
      </w:r>
    </w:p>
    <w:p>
      <w:pPr>
        <w:spacing w:after="200"/>
      </w:pPr>
      <w:r>
        <w:t xml:space="preserve">Daily Average Spend: This metric calculates average spending across all days in selected period (typically last 30 days). Display shows $/day as metric, compares to period before (comparing last 30 days to 30 days prior), identifies fastest and slowest spending days, and projects impact on runway if trend continues. This enables identification of spending acceleration and anticipation of budget constraints.</w:t>
      </w:r>
    </w:p>
    <w:p>
      <w:pPr>
        <w:pStyle w:val="Heading2"/>
        <w:spacing w:after="300"/>
      </w:pPr>
      <w:r>
        <w:t xml:space="preserve">CATEGORY ANALYTICS DASHBOARD</w:t>
      </w:r>
    </w:p>
    <w:p>
      <w:pPr>
        <w:spacing w:after="200"/>
      </w:pPr>
      <w:r>
        <w:t xml:space="preserve">Spend by Category: This section displays total spending for each budget category. Report Format shows category name, budgeted amount, actual spending, and visual bar chart showing budget allocation. Categories are ranked by total spending, enabling identification of biggest expenditure areas. Clicking each category provides detailed view of all transactions in that category, supporting identification of unusual spending or opportunities for cost reduction. Trend arrows indicate whether category spending is increasing or decreasing compared to prior period.</w:t>
      </w:r>
    </w:p>
    <w:p>
      <w:pPr>
        <w:spacing w:after="200"/>
      </w:pPr>
      <w:r>
        <w:t xml:space="preserve">Over/Under Budget by Category: This metric shows variance for each category (budgeted vs actual). Display shows category name, budgeted amount, actual amount, variance (positive = under budget, negative = over budget), and variance percentage. Color coding highlights status (green under budget, yellow approaching budget, red over budget). Categories over budget are highlighted for attention. This enables quick identification of categories requiring corrective action. Drill-down shows whether overspend is due to higher-than-expected unit costs, more units purchased than planned, or unplanned expense types.</w:t>
      </w:r>
    </w:p>
    <w:p>
      <w:pPr>
        <w:spacing w:after="200"/>
      </w:pPr>
      <w:r>
        <w:t xml:space="preserve">Trend Analysis by Category: Displays spending trends for each category over time. Format shows time series chart (daily, weekly, or monthly granularity) for selected category, compares actual to budgeted spending trend, highlights periods of abnormal spending, and enables period-over-period comparison. Trend analysis reveals seasonal patterns (example: phonebank spending concentrated in final 6 weeks) and identifies accelerating categories. Alerts notify when category spending unexpectedly accelerates.</w:t>
      </w:r>
    </w:p>
    <w:p>
      <w:pPr>
        <w:pStyle w:val="Heading2"/>
        <w:spacing w:after="300"/>
      </w:pPr>
      <w:r>
        <w:t xml:space="preserve">VENDOR ANALYTICS DASHBOARD</w:t>
      </w:r>
    </w:p>
    <w:p>
      <w:pPr>
        <w:spacing w:after="200"/>
      </w:pPr>
      <w:r>
        <w:t xml:space="preserve">Top Vendors Report: Identifies vendors receiving most campaign spending. Report displays vendor name, annual spend with campaign, number of transactions, average transaction size, and percentage of total campaign spending. List is sorted by total spending, highlighting vendors receiving largest allocations. Top vendors (typically accounting for 50-80% of campaign spending) are identified for relationship management and payment optimization. Clicking each vendor shows transaction history, payment status, and performance rating.</w:t>
      </w:r>
    </w:p>
    <w:p>
      <w:pPr>
        <w:spacing w:after="200"/>
      </w:pPr>
      <w:r>
        <w:t xml:space="preserve">Payment History: Tracks historical payments to vendors. Report shows vendor name, all transactions with dates and amounts, payment status (pending, cleared), payment method used, and notes on special conditions. Payment dates are compared to invoice dates to identify payment speed (average days from invoice to payment). This enables identification of vendors with cash flow challenges (repeatedly requesting early payment) or vendors with payment issues (checks returned, ACH failures). The report supports vendor performance evaluation.</w:t>
      </w:r>
    </w:p>
    <w:p>
      <w:pPr>
        <w:spacing w:after="200"/>
      </w:pPr>
      <w:r>
        <w:t xml:space="preserve">Outstanding Invoices: Identifies invoices pending payment. Report displays vendor name, invoice number, invoice date, amount, due date, and days overdue. Invoices are sorted by age, highlighting aging payables. Color coding shows current invoices in green, invoices 30+ days overdue in yellow, and invoices 60+ days overdue in red. This enables systematic attention to payment obligations and vendor relationship management. Outstanding balance by vendor is calculated for cash position forecasting.</w:t>
      </w:r>
    </w:p>
    <w:p>
      <w:pPr>
        <w:pStyle w:val="Heading2"/>
        <w:spacing w:after="300"/>
      </w:pPr>
      <w:r>
        <w:t xml:space="preserve">FORECASTING DASHBOARD</w:t>
      </w:r>
    </w:p>
    <w:p>
      <w:pPr>
        <w:spacing w:after="200"/>
      </w:pPr>
      <w:r>
        <w:t xml:space="preserve">Cash Flow Projection: Projects future cash position based on current trends. Calculation includes starting cash balance, projected income (donations, event revenue, transfers), committed expenditures (invoices pending payment), variable spending based on burn rate, and timing assumptions. Output displays cash position for each week or month of projection horizon, identifies periods where cash balance becomes critical, and highlights inflection points requiring action. The projection employs three scenarios: base case (current trends continue), optimistic case (higher income, lower spending), and pessimistic case (lower income, higher spending). Charts visualize cash position evolution, enabling identification of critical shortfalls that require additional fundraising or spending reduction.</w:t>
      </w:r>
    </w:p>
    <w:p>
      <w:pPr>
        <w:spacing w:after="200"/>
      </w:pPr>
      <w:r>
        <w:t xml:space="preserve">Budget Runway: Calculates estimated days until budget exhaustion. Calculation uses current remaining budget, daily average burn rate, and optionally projects impact of committed but not-yet-paid expenditures. Output shows Estimated Depletion Date (calendar date when budget will be exhausted at current burn rate), Days to Depletion (number of days remaining), Confidence Interval (likely range accounting for spending variability), and Critical Action Threshold (if runway drops below 30 days, escalation occurs). The metric is color-coded (green if runway exceeds 60 days, yellow if 30-60 days, red if less than 30 days). Runway is updated daily and reviewed by campaign leadership.</w:t>
      </w:r>
    </w:p>
    <w:p>
      <w:pPr>
        <w:spacing w:after="200"/>
      </w:pPr>
      <w:r>
        <w:t xml:space="preserve">Scenario Modeling: Enables what-if analysis of spending and fundraising scenarios. Scenario Builder allows user to define scenario assumptions (base burn rate +/- 20%, additional fundraising +/- $50k, new spending commitments), calculates impact on cash position and runway, and compares outcomes to base case. Output shows how different scenarios affect budget depletion date, identifies spending reduction needed to extend runway, and shows fundraising target needed to support planned spending. This enables leadership to model campaign plans and identify risks early.</w:t>
      </w:r>
    </w:p>
    <w:r>
      <w:br w:type="page"/>
    </w:r>
    <w:p>
      <w:pPr>
        <w:pStyle w:val="Heading1"/>
        <w:spacing w:after="300"/>
      </w:pPr>
      <w:r>
        <w:t xml:space="preserve">SECTION 5: E20 BRAIN INTEGRATION — AI-Powered Optimization</w:t>
      </w:r>
    </w:p>
    <w:p>
      <w:pPr>
        <w:spacing w:after="200"/>
      </w:pPr>
      <w:r>
        <w:t xml:space="preserve">E11 integrates with the E20 BRAIN (Budget Reasoning and Analysis Intelligence Network), an artificial intelligence system that analyzes campaign financial data to provide optimization recommendations, detect anomalies, and support strategic decision-making. This integration represents a significant advancement in campaign finance management, moving from backward-looking reporting to forward-looking intelligence.</w:t>
      </w:r>
    </w:p>
    <w:p>
      <w:pPr>
        <w:spacing w:after="200"/>
      </w:pPr>
      <w:r>
        <w:t xml:space="preserve">Budget Optimization Recommendations: The E20 BRAIN analyzes spending patterns and budget allocations to recommend optimization opportunities. The system compares campaign spending to peer benchmark data (similar candidate profiles, districts, states), identifies categories where spending exceeds typical ranges, and recommends reallocation opportunities. For example, if a campaign is spending 25% of budget on Media while peer campaigns spend 18%, the system recommends reallocating Media spending or examining whether Media ROI justifies premium allocation. Recommendations include estimated impact on campaign outcome (modeling suggests reallocating 10% of Media to Voter Contact would increase voter contact capacity by 30% with modest impact on paid media exposure). Recommendations are presented with confidence levels and supporting data.</w:t>
      </w:r>
    </w:p>
    <w:p>
      <w:pPr>
        <w:spacing w:after="200"/>
      </w:pPr>
      <w:r>
        <w:t xml:space="preserve">Spend Anomaly Detection: Machine learning models trained on historical campaign data detect unusual spending patterns that may indicate fraud, error, or novel strategy. The system monitors each transaction against expected ranges (vendor historical average, category average, size typical for campaign stage), flags transactions outside normal ranges, and alerts finance team for investigation. Examples include: unusually large payment to recurring vendor (possible billing error or invoice duplication), unusual spending on category that typically has minimal activity (possible miscategorization), payment to vendor not previously used (possible new vendor evaluation), or sudden spending acceleration in category (possible budget acceleration). Alerts provide context and recommended investigation steps.</w:t>
      </w:r>
    </w:p>
    <w:p>
      <w:pPr>
        <w:spacing w:after="200"/>
      </w:pPr>
      <w:r>
        <w:t xml:space="preserve">ROI by Expense Category: The E20 BRAIN integrates campaign performance data (voter contact metrics, fundraising results, election results) with spending data to calculate ROI for major spending categories. ROI calculation includes: Media &amp; Advertising (spending on digital ads, TV, radio, print) compared to voter reach and engagement metrics, Voter Contact (spending on canvassing, phonebank, direct mail) compared to voter contact attempts and conversion rates, Fundraising Events (spending on events) compared to fundraising results, and Ground Game (spending on staff, coordination) compared to voter turnout in areas with strong ground presence. ROI calculations inform future campaign spending and enable identification of highest-return activities.</w:t>
      </w:r>
    </w:p>
    <w:p>
      <w:pPr>
        <w:spacing w:after="200"/>
      </w:pPr>
      <w:r>
        <w:t xml:space="preserve">Cash Flow Prediction: Machine learning models predict future cash flow based on historical patterns and forward-looking data. The system analyzes donation patterns (timing of donations relative to election cycle, seasonality, major fundraising pushes), predicts expected donation timing and amounts, projects committed spending (invoices outstanding, contract obligations), and calculates projected cash position. Predictions include confidence intervals reflecting uncertainty. This enables campaign to anticipate cash flow challenges and plan fundraising and spending accordingly. Predictions are updated daily as new data arrives.</w:t>
      </w:r>
    </w:p>
    <w:p>
      <w:pPr>
        <w:spacing w:after="200"/>
      </w:pPr>
      <w:r>
        <w:t xml:space="preserve">Vendor Performance Scoring: The E20 BRAIN assigns performance scores to vendors based on multiple factors. Scoring includes Delivery Speed (how quickly vendor completes work after contract), Quality (rework rate, defect rate, customer satisfaction), Cost Competitiveness (pricing compared to peer vendors), Compliance (meeting contract terms, regulatory compliance), and Strategic Value (alignment with campaign priorities, relationship potential). High-performing vendors are highlighted for relationship maintenance and future engagement. Low-performing vendors are flagged for potential replacement. The scoring enables data-driven vendor management and relationship optimization.</w:t>
      </w:r>
    </w:p>
    <w:p>
      <w:pPr>
        <w:spacing w:after="200"/>
      </w:pPr>
      <w:r>
        <w:t xml:space="preserve">Fundraising Target Modeling: The system models minimum fundraising targets needed to support planned spending and achieve campaign goals. Modeling calculates committed spending obligations, project future spending based on burn rate and timeline, identifies gap between current cash and committed obligations, and determines minimum fundraising target to support full campaign execution. Scenarios include: minimum funding to reach election day with planned spending, funding level to extend runway if more time is needed, and aggressive funding level to fund expanded campaign plans. This enables campaign to set realistic fundraising goals.</w:t>
      </w:r>
    </w:p>
    <w:p>
      <w:pPr>
        <w:spacing w:after="200"/>
      </w:pPr>
      <w:r>
        <w:t xml:space="preserve">AI Integration Architecture: The E20 BRAIN integration operates on secure data pipelines that transmit campaign financial data to AI processing systems (either cloud-based or on-premise depending on configuration). Data transmission uses encryption and privacy protections ensuring sensitive financial data is protected. The AI system processes data and returns recommendations and alerts back to E11. The integration is fully auditable, with all AI recommendations logged and traced to source data. Users can understand why specific recommendations are made and can validate accuracy.</w:t>
      </w:r>
    </w:p>
    <w:r>
      <w:br w:type="page"/>
    </w:r>
    <w:p>
      <w:pPr>
        <w:pStyle w:val="Heading1"/>
        <w:spacing w:after="300"/>
      </w:pPr>
      <w:r>
        <w:t xml:space="preserve">SECTION 6: INSPINIA MAPPING — UI/UX Framework Integration</w:t>
      </w:r>
    </w:p>
    <w:p>
      <w:pPr>
        <w:spacing w:after="200"/>
      </w:pPr>
      <w:r>
        <w:t xml:space="preserve">E11 implements the Inspinia responsive web framework, providing a modern, professional user interface that adapts seamlessly to desktop, tablet, and mobile devices. Inspinia is a premium Bootstrap-based framework emphasizing clean design, intuitive navigation, and accessibility. This section details how E11 leverages Inspinia components.</w:t>
      </w:r>
    </w:p>
    <w:p>
      <w:pPr>
        <w:spacing w:after="200"/>
      </w:pPr>
      <w:r>
        <w:t xml:space="preserve">Responsive Layout Architecture: Inspinia provides a 12-column responsive grid that automatically adjusts layout based on device screen size. Desktop views (screens &gt;1200px wide) display full multi-column layouts with sidebar navigation, main content area, and optional right sidebar for details or actions. Tablet views (768px-1199px wide) collapse to two-column layouts, hiding secondary sidebars and using dropdowns for navigation. Mobile views (&lt;768px wide) use single-column full-width layouts with top navigation bar and collapsible side menu. Breakpoints are optimized for common device sizes (iPhone, iPad, desktop monitors). All layouts maintain usability and readability across devices.</w:t>
      </w:r>
    </w:p>
    <w:p>
      <w:pPr>
        <w:spacing w:after="200"/>
      </w:pPr>
      <w:r>
        <w:t xml:space="preserve">Color Theme System: Inspinia provides light and dark color themes. Light Theme uses white backgrounds with dark text, suitable for daytime use and outdoor viewing. Primary Colors are professional blues and grays conveying trust and stability. Accent Colors are greens (positive metrics), reds (alerts/warnings), and yellows (cautions). Dark Theme uses dark backgrounds with light text, suitable for evening use and reduced eye strain. Colors are adjusted to maintain contrast ratios meeting WCAG accessibility standards (4.5:1 for normal text, 3:1 for large text). Users can toggle between themes via settings, and preference is saved to profile.</w:t>
      </w:r>
    </w:p>
    <w:p>
      <w:pPr>
        <w:spacing w:after="200"/>
      </w:pPr>
      <w:r>
        <w:t xml:space="preserve">Typography &amp; Readability: Inspinia emphasizes clean, readable typography. Primary Font is a sans-serif font (Helvetica Neue or equivalent) chosen for screen readability. Heading Hierarchy uses size, weight, and color to distinguish heading levels (H1 largest for page titles, H2 for section headings, H3 for subsections). Body text uses 14-16px font size for comfortable reading. Line spacing is generous (1.5x to 1.8x line height) for readability. Contrast ratios exceed accessibility standards. Links are distinguished through color and underline, and visited links show different color indicating theyve been clicked.</w:t>
      </w:r>
    </w:p>
    <w:p>
      <w:pPr>
        <w:spacing w:after="200"/>
      </w:pPr>
      <w:r>
        <w:t xml:space="preserve">Navigation Components: Inspinia provides multiple navigation patterns. Primary Navigation uses a sidebar menu on desktop (collapsible on mobile) with main sections (Dashboard, Budget, Expenses, Vendors, Reports, Settings). Secondary Navigation uses breadcrumbs showing current page location within hierarchy (Dashboard &gt; Budget &gt; Personnel Category), enabling quick navigation to parent pages. Tab-based Navigation groups related functions (Budget Overview, Budget Templates, Category Setup appear as tabs on Budget page). Dropdown Menus provide access to related actions without consuming page space. Mobile Navigation uses a hamburger menu icon (three horizontal lines) that slides in a menu from the left or top.</w:t>
      </w:r>
    </w:p>
    <w:p>
      <w:pPr>
        <w:spacing w:after="200"/>
      </w:pPr>
      <w:r>
        <w:t xml:space="preserve">Form Components &amp; Validation: Inspinia provides accessible form elements with real-time validation. Input Fields include text fields (for names, descriptions), numeric fields (with spinners and validation), date pickers (with calendar popup), dropdowns (for selection from list), multi-select (for choosing multiple options), checkboxes (for binary choices), and radio buttons (for single choice from group). Validation provides real-time feedback as users type (invalid email format flagged immediately, numeric fields reject non-numeric input). Error messages are displayed prominently in red near the field, with guidance on correcting the error. Required fields are marked with asterisk (*) and in bold. Form submission is prevented if validation errors remain.</w:t>
      </w:r>
    </w:p>
    <w:p>
      <w:pPr>
        <w:spacing w:after="200"/>
      </w:pPr>
      <w:r>
        <w:t xml:space="preserve">Button &amp; Action Components: Buttons use clear, action-oriented labels. Primary Action buttons (like Save Budget, Submit Expense) use prominent blue color. Secondary Action buttons (like Cancel, Preview) use gray color. Destructive actions (like Delete, Clear) use red color with confirmation dialog before execution. Button size adjusts for importance (larger for primary actions, smaller for secondary). Icon buttons provide visual affordance (camera icon for upload, trash icon for delete, gear icon for settings). Buttons include hover states (color change, slight elevation) providing visual feedback. Disabled buttons appear grayed out when not available.</w:t>
      </w:r>
    </w:p>
    <w:p>
      <w:pPr>
        <w:spacing w:after="200"/>
      </w:pPr>
      <w:r>
        <w:t xml:space="preserve">Data Table Components: Tables display transaction lists, vendor directories, and report data. Table Formatting includes alternating row colors (light gray for every other row) improving scannability. Headers are sticky (remain visible when scrolling) so user always sees column titles. Sorting is available on numeric columns (click header to sort ascending/descending). Filtering enables selecting which rows to display (by date range, category, vendor). Pagination shows 25/50/100 rows per page with navigation to other pages. Row Actions (edit, delete, approve) appear as buttons in rightmost column or in dropdown menu. Tables are responsive, collapsing to card view on mobile devices.</w:t>
      </w:r>
    </w:p>
    <w:p>
      <w:pPr>
        <w:spacing w:after="200"/>
      </w:pPr>
      <w:r>
        <w:t xml:space="preserve">Chart &amp; Visualization Components: Inspinia integrates charting libraries for data visualization. Chart Types include Line Charts (for time series data like spending trends), Bar Charts (for categorical comparison), Pie/Donut Charts (for composition/percentage breakdowns), and Scatter Plots (for relationship analysis). Chart Styling uses Inspinia color palette for consistency. Interactive Features include hover tooltips showing exact values, click-to-drill enabling navigation to underlying data, and legend toggling to show/hide data series. Charts are responsive, adjusting size and detail level for mobile devices.</w:t>
      </w:r>
    </w:p>
    <w:p>
      <w:pPr>
        <w:spacing w:after="200"/>
      </w:pPr>
      <w:r>
        <w:t xml:space="preserve">Alert &amp; Notification Components: Inspinia provides alert components for messages and notifications. Alert Styles include Success Alerts (green background, checkmark icon) for completed actions, Warning Alerts (yellow background, exclamation icon) for cautions, Error Alerts (red background, X icon) for failures, and Info Alerts (blue background, info icon) for informational messages. In-app Notifications appear as toast messages at bottom right of screen, auto-dismissing after 5 seconds or when user clicks. Critical alerts (like budget overages) are persistent until dismissed. Email Notifications are sent for significant events (large transactions, approval required, payment processed).</w:t>
      </w:r>
    </w:p>
    <w:p>
      <w:pPr>
        <w:spacing w:after="200"/>
      </w:pPr>
      <w:r>
        <w:t xml:space="preserve">Modal &amp; Dialog Components: Important actions trigger modal dialogs overlaying the main content. Modal Structure includes title, content area, and action buttons (typically Confirm and Cancel). Modals are centered on screen and semi-transparent background darkens underlying content. Closing modal via Cancel button or X button returns user to previous state. Confirmation Dialogs for destructive actions emphasize the action (Are you sure you want to delete this vendor? This action cannot be undone.). Modal Size is responsive, adjusting for mobile screens while maintaining usability.</w:t>
      </w:r>
    </w:p>
    <w:r>
      <w:br w:type="page"/>
    </w:r>
    <w:p>
      <w:pPr>
        <w:pStyle w:val="Heading1"/>
        <w:spacing w:after="300"/>
      </w:pPr>
      <w:r>
        <w:t xml:space="preserve">SECTION 7: SEARCH/SORT/SAVE/ACTIVATE — Data Management</w:t>
      </w:r>
    </w:p>
    <w:p>
      <w:pPr>
        <w:spacing w:after="200"/>
      </w:pPr>
      <w:r>
        <w:t xml:space="preserve">E11 implements sophisticated data management features enabling users to search transactions, sort results, save filtered views for reuse, and activate/deactivate filters. These capabilities accelerate workflow and enable sophisticated financial analysis.</w:t>
      </w:r>
    </w:p>
    <w:p>
      <w:pPr>
        <w:spacing w:after="200"/>
      </w:pPr>
      <w:r>
        <w:t xml:space="preserve">Search Functionality: Global search enables finding transactions, vendors, budgets, and reports across the application. Search Interface displays a search box prominently in top navigation accepting free-text queries. Search Engine indexes all transaction descriptions, vendor names, category names, and custom fields. Real-time suggestions appear as user types (suggesting transaction #, vendor name, category matching search text). Search Results display matching items organized by type (transactions, vendors, budgets, reports) with result count. Clicking result navigates to relevant detail page. Advanced Search provides more sophisticated queries: searching by transaction type (all expenses in Personnel category), date range (transactions from Jan 1-31), amount range (transactions over $10,000), or combination of filters.</w:t>
      </w:r>
    </w:p>
    <w:p>
      <w:pPr>
        <w:spacing w:after="200"/>
      </w:pPr>
      <w:r>
        <w:t xml:space="preserve">Sort Functionality: Transaction lists can be sorted by multiple dimensions. Sort Options include Amount (lowest to highest or vice versa), Date (oldest to newest or vice versa), Vendor Name (A-Z or Z-A), Category (alphabetical), and Approval Status (pending first). Multi-level Sort enables sorting by primary field (Date) then secondary field (Amount), useful for finding largest transactions in specific period. Sort Direction indicators (up/down arrow) show current sort order. Clicking column header toggles sort (first click = ascending, second click = descending). Reverse Sort returns to original order.</w:t>
      </w:r>
    </w:p>
    <w:p>
      <w:pPr>
        <w:spacing w:after="200"/>
      </w:pPr>
      <w:r>
        <w:t xml:space="preserve">Filter Functionality: Filtering narrows transaction lists to specific subsets. Filter Categories include: Date Range (calendar picker or preset ranges like Last 30 Days, This Month), Category (multi-select enabling inclusion of multiple categories), Vendor (type vendor name to filter), Amount Range (numeric range filters), Approval Status (pending, approved, rejected), and Transaction Type (expense, income, transfer). Filter Interface displays active filters prominently with ability to clear individual filters or reset all. Filtered results show count (e.g., Showing 45 of 389 transactions). Filters persist during session, and can be saved for reuse.</w:t>
      </w:r>
    </w:p>
    <w:p>
      <w:pPr>
        <w:spacing w:after="200"/>
      </w:pPr>
      <w:r>
        <w:t xml:space="preserve">Save Filtered View: Users can save frequently-used filter combinations for quick access. Save View Dialog allows naming the saved view (e.g., Pending Approvals, Large Vendor Payments, Monthly Reconciliation), optional description, and designation as personal (visible only to user) or team (visible to all team members). Saved Views appear in sidebar or dropdown for quick access. Clicking saved view automatically applies filters. Saved Views can be deleted or renamed. This accelerates workflow for recurring financial tasks.</w:t>
      </w:r>
    </w:p>
    <w:p>
      <w:pPr>
        <w:spacing w:after="200"/>
      </w:pPr>
      <w:r>
        <w:t xml:space="preserve">Activate/Deactivate Filters: Filters can be temporarily disabled without losing configuration. Activate/Deactivate Interface shows list of currently-applied filters with toggles. Unchecking filter temporarily disables it while keeping configuration intact. Re-enabling filter quickly restores previous filtering. This enables rapid what-if analysis (quickly showing results with and without specific filter to compare impact).</w:t>
      </w:r>
    </w:p>
    <w:p>
      <w:pPr>
        <w:spacing w:after="200"/>
      </w:pPr>
      <w:r>
        <w:t xml:space="preserve">Save Search Results: Important transaction lists can be saved for reference or sharing. Export Functionality enables saving results as CSV (spreadsheet format), PDF (formatted report), or JSON (data format). Export Options include selecting which columns to export, date format, number format (with/without currency symbol), and summary information (total count, sum, average). Exported files can be sent to team members via email or stored in document repository.</w:t>
      </w:r>
    </w:p>
    <w:p>
      <w:pPr>
        <w:spacing w:after="200"/>
      </w:pPr>
      <w:r>
        <w:t xml:space="preserve">Saved Searches Management: Users can view, edit, and delete saved searches. Saved Searches List shows search name, creation date, number of results, and last execution time. Edit Search allows modifying filter criteria and re-saving. Delete Search removes saved search and alerts user if others are using it. Sharing enables marking search as shareable with team members or keeping private.</w:t>
      </w:r>
    </w:p>
    <w:r>
      <w:br w:type="page"/>
    </w:r>
    <w:p>
      <w:pPr>
        <w:pStyle w:val="Heading1"/>
        <w:spacing w:after="300"/>
      </w:pPr>
      <w:r>
        <w:t xml:space="preserve">SECTION 8: CAMPAIGN CHIEF DIALOGS — Budget Alerts &amp; Optimization</w:t>
      </w:r>
    </w:p>
    <w:p>
      <w:pPr>
        <w:spacing w:after="200"/>
      </w:pPr>
      <w:r>
        <w:t xml:space="preserve">Campaign Chief is the intelligent alert and recommendation engine integrated into E11. The system monitors financial activity continuously, detects conditions requiring attention, and surfaces actionable insights through targeted dialogs. This section describes the four primary dialog types.</w:t>
      </w:r>
    </w:p>
    <w:p>
      <w:pPr>
        <w:pStyle w:val="Heading2"/>
        <w:spacing w:after="300"/>
      </w:pPr>
      <w:r>
        <w:t xml:space="preserve">DIALOG 1: BUDGET ALERTS</w:t>
      </w:r>
    </w:p>
    <w:p>
      <w:pPr>
        <w:spacing w:after="200"/>
      </w:pPr>
      <w:r>
        <w:t xml:space="preserve">Budget Alert Dialog appears when spending in any category approaches or exceeds budgeted amount. Alert Trigger includes spending at 80% of category budget (caution level), spending at 95% of category budget (warning level), and spending exceeding category budget (critical level). Alert Presentation displays the affected category, budgeted amount, actual spending, percentage of budget consumed, remaining budget in dollars, and remaining budget in days (based on category burn rate). The dialog provides context explaining why this alert is important.</w:t>
      </w:r>
    </w:p>
    <w:p>
      <w:pPr>
        <w:spacing w:after="200"/>
      </w:pPr>
      <w:r>
        <w:t xml:space="preserve">Dialog Content for Budget Alert includes Category Name (e.g., Media &amp; Advertising), Budget Allocation ($250,000), Current Spending ($237,500), Percentage Spent (95%), Remaining Budget ($12,500), Remaining Days at Current Burn Rate (8 days if category is burning at $1,500/day), Spending Trend (whether category spending is accelerating or decelerating), and Top Contributors to Category Spending (top 3 vendors in category accounting for largest spend). The dialog presents Recommended Actions: Continue Current Pace (if remaining budget and timeline align), Reduce Spending (if timeline requires extending remaining funds), Reallocate from Other Categories (if other categories have budget remaining), or Increase Budget (if additional fundraising enables larger allocation). Each action includes expected impact.</w:t>
      </w:r>
    </w:p>
    <w:p>
      <w:pPr>
        <w:spacing w:after="200"/>
      </w:pPr>
      <w:r>
        <w:t xml:space="preserve">Dialog Interaction includes option to Acknowledge Alert (dismiss alert without action, re-alerting on next threshold crossing), Set Custom Alert Level (adjust percentage that triggers alert), Freeze Category (prevent further spending in category), Adjust Budget (modify category allocation), and Export Alert Data (download alert details and recommendations). Alerts are logged in audit trail and tracked in alert history. Dismissing alert requires confirmation if spending exceeds budget (preventing accidental dismissal of critical alerts).</w:t>
      </w:r>
    </w:p>
    <w:p>
      <w:pPr>
        <w:pStyle w:val="Heading2"/>
        <w:spacing w:after="300"/>
      </w:pPr>
      <w:r>
        <w:t xml:space="preserve">DIALOG 2: SPENDING OPTIMIZATION RECOMMENDATIONS</w:t>
      </w:r>
    </w:p>
    <w:p>
      <w:pPr>
        <w:spacing w:after="200"/>
      </w:pPr>
      <w:r>
        <w:t xml:space="preserve">Spending Optimization Dialog appears when the E20 BRAIN AI system identifies opportunities to improve budget allocation based on peer benchmarks and campaign performance data. Optimization Trigger includes spending in category significantly exceeding peer benchmark (example: campaign spending 22% of budget on Media while peer campaigns spend 15%), low ROI category (example: category spending is high but voter contact or donation metrics are low), or underutilized budget in high-ROI category (example: category has remaining budget that could be reallocated to higher-return activity).</w:t>
      </w:r>
    </w:p>
    <w:p>
      <w:pPr>
        <w:spacing w:after="200"/>
      </w:pPr>
      <w:r>
        <w:t xml:space="preserve">Dialog Content for Optimization includes Current Allocation (percentage of budget in each major category), Peer Benchmarks (comparison to similar campaigns), Variance Analysis (where campaign differs from peer spending patterns), ROI Analysis (estimated return for each spending category based on campaign performance metrics), and Recommended Reallocation (suggested changes to category allocations to improve ROI). The dialog displays estimated impact of recommended reallocation (example: Reallocating 5% from Media to Voter Contact is projected to increase voter contact capacity by 25% while reducing paid reach by 8%. Peer campaigns with this allocation have outperformed expectations.).</w:t>
      </w:r>
    </w:p>
    <w:p>
      <w:pPr>
        <w:spacing w:after="200"/>
      </w:pPr>
      <w:r>
        <w:t xml:space="preserve">Optimization scenarios are presented, each showing: Scenario Name, Target Adjustment (which categories increase/decrease), Estimated Impact on ROI (overall campaign ROI improvement), Impact on Specific Outcomes (voter contact, fundraising, media reach), and Confidence Level (AI confidence in recommendation based on data quality). Campaign leadership can select scenario to implement or request AI to model custom scenario.</w:t>
      </w:r>
    </w:p>
    <w:p>
      <w:pPr>
        <w:spacing w:after="200"/>
      </w:pPr>
      <w:r>
        <w:t xml:space="preserve">Dialog Interaction includes option to Accept Recommendation (implement suggested reallocation), Request Detailed Analysis (see supporting data and methodology), Model Alternative Scenario (ask AI to analyze different allocation), Request Peer Comparison (see detailed comparison to specific peer campaigns), and Dismiss Recommendation (do not implement, re-assess in 7 days). Accepted recommendations are logged and tracked for post-election analysis of impact.</w:t>
      </w:r>
    </w:p>
    <w:p>
      <w:pPr>
        <w:pStyle w:val="Heading2"/>
        <w:spacing w:after="300"/>
      </w:pPr>
      <w:r>
        <w:t xml:space="preserve">DIALOG 3: CASH FLOW &amp; RUNWAY WARNINGS</w:t>
      </w:r>
    </w:p>
    <w:p>
      <w:pPr>
        <w:spacing w:after="200"/>
      </w:pPr>
      <w:r>
        <w:t xml:space="preserve">Cash Flow Warning Dialog appears when campaign financial position deteriorates below safety thresholds. Warning Triggers include remaining budget drops below 60 days of spending (at current burn rate), cash flow projection shows shortfall before election, major payment obligation due without confirmed funds, or donation velocity is below projection (fewer donations received than forecasted). The dialog is designed to prompt action before crisis occurs.</w:t>
      </w:r>
    </w:p>
    <w:p>
      <w:pPr>
        <w:spacing w:after="200"/>
      </w:pPr>
      <w:r>
        <w:t xml:space="preserve">Dialog Content for Cash Flow Warning includes Current Cash Balance (available funds), Burn Rate (daily average spending), Days of Runway Remaining (calculation: current cash / burn rate), Projected Shortfall (if runway runs out before election, by how many days will spending exceed budget), Major Payment Obligations (scheduled payments and due dates), Expected Income (pledged donations, event revenue, with timing), and Funding Gap (additional funds needed to maintain planned spending through election day). The dialog presents three scenarios: Base Case (current trends continue), Optimistic Case (higher income, lower spending), and Pessimistic Case (lower income, higher spending). Charts visualize cash position trajectory.</w:t>
      </w:r>
    </w:p>
    <w:p>
      <w:pPr>
        <w:spacing w:after="200"/>
      </w:pPr>
      <w:r>
        <w:t xml:space="preserve">Recommended Actions for Cash Flow Warning include: Immediate Fundraising Push (specific recommendations on fundraising targets and timing needed to close gap), Spending Reduction (which categories could be reduced and by how much to extend runway), Payment Timing Adjustments (defer non-critical payments to extend cash), or Contingency Activation (activate pre-planned spending reductions if situation worsens). The dialog shows impact of each action on runway extension.</w:t>
      </w:r>
    </w:p>
    <w:p>
      <w:pPr>
        <w:spacing w:after="200"/>
      </w:pPr>
      <w:r>
        <w:t xml:space="preserve">Dialog Interaction includes option to Acknowledge Warning (dismiss with reminder to reassess in 3 days), Activate Spending Freeze (prevent new approvals in discretionary categories), Initiate Fundraising Campaign (flag for development team to accelerate donor outreach), Approve Payment Deferrals (delay non-critical payments to preserve cash), and Export Cash Flow Analysis (prepare detailed financial analysis for board or lender discussion). Warnings escalate in severity as runway shrinks, with critical warnings (less than 14 days of runway) triggering direct notification to candidate and finance director.</w:t>
      </w:r>
    </w:p>
    <w:p>
      <w:pPr>
        <w:pStyle w:val="Heading2"/>
        <w:spacing w:after="300"/>
      </w:pPr>
      <w:r>
        <w:t xml:space="preserve">DIALOG 4: ROI COMPARISON &amp; REALLOCATION</w:t>
      </w:r>
    </w:p>
    <w:p>
      <w:pPr>
        <w:spacing w:after="200"/>
      </w:pPr>
      <w:r>
        <w:t xml:space="preserve">ROI Comparison Dialog appears to help campaign allocate remaining budget to highest-return activities. ROI Comparison Trigger includes significant remaining budget in major categories, campaign entering phase where ROI can be measured (late-stage campaign with campaign performance data available), or AI analysis suggesting budget reallocation would improve outcome. The dialog is decision-support focused, presenting data to enable informed choices.</w:t>
      </w:r>
    </w:p>
    <w:p>
      <w:pPr>
        <w:spacing w:after="200"/>
      </w:pPr>
      <w:r>
        <w:t xml:space="preserve">Dialog Content for ROI Comparison includes: Category ROI Analysis (for each spending category, estimated return based on spending and campaign performance metrics), Spending vs Return Visualization (chart showing spending per category vs estimated return per category, with visual identification of efficient vs inefficient spending), Marginal ROI Analysis (incremental return of each additional dollar spent in category - often decreasing as spending increases), Historical Data (how similar campaigns allocated budget in similar situations), and Peer Performance (how peer campaigns allocated resources and outcomes achieved).</w:t>
      </w:r>
    </w:p>
    <w:p>
      <w:pPr>
        <w:spacing w:after="200"/>
      </w:pPr>
      <w:r>
        <w:t xml:space="preserve">ROI Metrics vary by category: Media &amp; Advertising ROI estimated based on paid reach and engagement metrics, Voter Contact ROI estimated based on contacts made and voter turnout, Event ROI estimated based on fundraising and volunteer recruitment results, and Digital Organizing ROI estimated based on email list growth and online engagement. ROI confidence levels are displayed, indicating AI confidence in estimates based on data quality and historical accuracy.</w:t>
      </w:r>
    </w:p>
    <w:p>
      <w:pPr>
        <w:spacing w:after="200"/>
      </w:pPr>
      <w:r>
        <w:t xml:space="preserve">Reallocation Scenarios present different allocation strategies: Maximum Vote Efficiency (allocate to highest-ROI activities regardless of category), Balanced Approach (maintain campaign message across multiple channels), Risk-Aware (concentrate spending in proven channels), and Aggressive Growth (invest in emerging channels with uncertain but potentially high ROI). Each scenario shows projected outcome (estimated vote share, turnout, fundraising) and risk level.</w:t>
      </w:r>
    </w:p>
    <w:p>
      <w:pPr>
        <w:spacing w:after="200"/>
      </w:pPr>
      <w:r>
        <w:t xml:space="preserve">Dialog Interaction includes option to Accept Scenario (implement recommended allocation), Model Custom Allocation (request AI to analyze user-specified allocation), Deep Dive Analysis (see detailed methodology and supporting data), Peer Benchmark Comparison (see how peer campaigns allocated and results), and Export ROI Analysis (prepare detailed analysis for board discussion). Accepted reallocations are tracked and post-election analysis measures actual ROI vs projected ROI.</w:t>
      </w:r>
    </w:p>
    <w:r>
      <w:br w:type="page"/>
    </w:r>
    <w:p>
      <w:pPr>
        <w:pStyle w:val="Heading1"/>
        <w:spacing w:after="300"/>
      </w:pPr>
      <w:r>
        <w:t xml:space="preserve">CONCLUSION</w:t>
      </w:r>
    </w:p>
    <w:p>
      <w:pPr>
        <w:spacing w:after="200"/>
      </w:pPr>
      <w:r>
        <w:t xml:space="preserve">The E11 Budget Ecosystem represents a comprehensive adaptation of QuickBooks financial management architecture specifically designed for campaign finance operations. By combining the proven functionality of business accounting software with the unique requirements of political campaign finance, E11 enables campaigns to manage budgets effectively, ensure regulatory compliance, and make data-driven decisions about resource allocation.</w:t>
      </w:r>
    </w:p>
    <w:p>
      <w:pPr>
        <w:spacing w:after="200"/>
      </w:pPr>
      <w:r>
        <w:t xml:space="preserve">Integration with the E20 BRAIN artificial intelligence system elevates E11 beyond traditional accounting software, providing strategic recommendations and predictive analytics that guide campaign decision-making. The Inspinia UI framework ensures the complex functionality is presented in an intuitive, accessible manner across all devices.</w:t>
      </w:r>
    </w:p>
    <w:p>
      <w:pPr>
        <w:spacing w:after="200"/>
      </w:pPr>
      <w:r>
        <w:t xml:space="preserve">E11 serves as the financial command center for the BroyhillGOP ecosystem, providing the visibility, control, and intelligence needed to execute successful campaigns while maintaining audit readiness and regulatory compliance throughout the election cycle.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2026-02-17T05:26:39.582Z</dcterms:created>
  <dcterms:modified xsi:type="dcterms:W3CDTF">2026-02-17T05:26:39.582Z</dcterms:modified>
</cp:coreProperties>
</file>

<file path=docProps/custom.xml><?xml version="1.0" encoding="utf-8"?>
<Properties xmlns="http://schemas.openxmlformats.org/officeDocument/2006/custom-properties" xmlns:vt="http://schemas.openxmlformats.org/officeDocument/2006/docPropsVTypes"/>
</file>