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E28 FINANCIAL MANAGEMENT ECOSYSTEM REPORT</w:t>
      </w:r>
    </w:p>
    <w:p>
      <w:pPr>
        <w:pStyle w:val="Subtitle"/>
        <w:spacing w:after="400"/>
        <w:jc w:val="center"/>
      </w:pPr>
      <w:r>
        <w:t xml:space="preserve">Complete NetSuite Clone Implementation for BroyhillGOP Campaign Financial Operations</w:t>
      </w:r>
    </w:p>
    <w:p>
      <w:pPr>
        <w:pStyle w:val="Heading1"/>
        <w:pBdr>
          <w:bottom w:val="single" w:color="000000" w:sz="6" w:space="1"/>
        </w:pBdr>
        <w:spacing w:before="400" w:after="200"/>
      </w:pPr>
      <w:r>
        <w:t xml:space="preserve">SECTION 1: APP CLONE AUDIT — NetSuite</w:t>
      </w:r>
    </w:p>
    <w:p>
      <w:pPr>
        <w:spacing w:line="360" w:after="100"/>
        <w:jc w:val="both"/>
      </w:pPr>
      <w:r>
        <w:t xml:space="preserve">The E28 Financial Management ecosystem represents a comprehensive digital transformation initiative designed to replicate NetSuite's enterprise-grade financial management capabilities within the BroyhillGOP organizational context. This audit establishes a feature-by-feature mapping between NetSuite's proven financial modules and custom implementations tailored specifically for political campaign operations, fundraising, compliance, and multi-entity financial consolidation.</w:t>
      </w:r>
    </w:p>
    <w:p>
      <w:pPr>
        <w:pStyle w:val="Heading2"/>
        <w:spacing w:before="200" w:after="100"/>
      </w:pPr>
      <w:r>
        <w:t xml:space="preserve">NetSuite Feature Set to BroyhillGOP Implementation Mapping</w:t>
      </w:r>
    </w:p>
    <w:p>
      <w:pPr>
        <w:spacing w:line="360" w:after="100"/>
        <w:jc w:val="both"/>
      </w:pPr>
      <w:r>
        <w:t xml:space="preserve">The NetSuite General Ledger module, which serves as the foundation for all financial transaction recording and reporting, maps directly to the BroyhillGOP Campaign General Ledger implementation. This component maintains complete chart of accounts hierarchies, supports multi-dimensional account structures, and enables real-time posting of all financial transactions across campaign entities. The General Ledger in E28 accommodates campaign-specific account structures including donor contribution accounts, campaign expense classifications, and FEC compliance account groupings.</w:t>
      </w:r>
    </w:p>
    <w:p>
      <w:pPr>
        <w:spacing w:line="360" w:after="100"/>
        <w:jc w:val="both"/>
      </w:pPr>
      <w:r>
        <w:t xml:space="preserve">NetSuite's Accounts Receivable functionality translates to BroyhillGOP's Donation Revenue Recognition module. This system tracks all incoming contributions, manages donor relationships, applies revenue recognition rules consistent with accounting standards, and generates aging reports for outstanding commitments. The implementation captures donation source tracking, recurring donor management, and pledge-to-receipt reconciliation, which are critical for campaign financial transparency and stewardship reporting.</w:t>
      </w:r>
    </w:p>
    <w:p>
      <w:pPr>
        <w:spacing w:line="360" w:after="100"/>
        <w:jc w:val="both"/>
      </w:pPr>
      <w:r>
        <w:t xml:space="preserve">The Accounts Payable module from NetSuite corresponds to the Vendor Payables system within E28. This component manages vendor master data, processes purchase orders, records and approves vendor invoices, calculates payment schedules, and executes payment transactions. For BroyhillGOP, this includes campaign vendor management for media buys, event logistics, printing, digital services, and contractor payments with full audit trail and approval workflow integration.</w:t>
      </w:r>
    </w:p>
    <w:p>
      <w:pPr>
        <w:spacing w:line="360" w:after="100"/>
        <w:jc w:val="both"/>
      </w:pPr>
      <w:r>
        <w:t xml:space="preserve">NetSuite's Fixed Assets management system aligns with the Campaign Asset Management function in E28. This module tracks campaign equipment acquisitions, depreciation calculations, asset location and custody, disposal transactions, and asset retirement schedules. Campaign-specific assets include office equipment, campaign materials inventory, vehicles and mileage tracking, and technology infrastructure supporting electoral operations.</w:t>
      </w:r>
    </w:p>
    <w:p>
      <w:pPr>
        <w:spacing w:line="360" w:after="100"/>
        <w:jc w:val="both"/>
      </w:pPr>
      <w:r>
        <w:t xml:space="preserve">Revenue Recognition capabilities in NetSuite are implemented through BroyhillGOP's Donation Revenue Recognition subsystem. This feature applies complex revenue recognition rules to different donation types, manages pledge and receipt timing differences, handles conditional gifts, and generates revenue recognition journals automatically. The system ensures compliance with nonprofit accounting standards while providing transparency to campaign financial stakeholders.</w:t>
      </w:r>
    </w:p>
    <w:p>
      <w:pPr>
        <w:spacing w:line="360" w:after="100"/>
        <w:jc w:val="both"/>
      </w:pPr>
      <w:r>
        <w:t xml:space="preserve">NetSuite's Financial Planning and Analysis functionality manifests as Budget Forecasting in E28. This component enables campaign finance directors to model revenue scenarios, forecast expense trajectories, analyze cash flow constraints, and develop financial strategies across campaign phases from initial launch through election day and post-election closure. Integration with E11 Budget provides real-time variance analysis between planned and actual results.</w:t>
      </w:r>
    </w:p>
    <w:p>
      <w:pPr>
        <w:spacing w:line="360" w:after="100"/>
        <w:jc w:val="both"/>
      </w:pPr>
      <w:r>
        <w:t xml:space="preserve">Multi-Entity Management in NetSuite, critical for organizations with subsidiary structures, is implemented as Multi-Campaign Financial Consolidation in BroyhillGOP. This system consolidates financial results across multiple campaign entities, eliminates inter-campaign transactions, produces consolidated financial statements, and maintains audit trail of consolidation adjustments. This is essential for organizations running concurrent campaigns across different races and jurisdictions.</w:t>
      </w:r>
    </w:p>
    <w:p>
      <w:pPr>
        <w:spacing w:line="360" w:after="100"/>
        <w:jc w:val="both"/>
      </w:pPr>
      <w:r>
        <w:t xml:space="preserve">Bank Reconciliation functionality from NetSuite is fully replicated in E28. The system matches bank statement transactions to recorded journal entries, identifies timing differences, facilitates research of outstanding items, and generates reconciliation reports. Multi-account reconciliation supports campaign checking accounts, savings accounts, merchant processor settlements, and PayPal/Stripe transaction reconciliation for online fundraising.</w:t>
      </w:r>
    </w:p>
    <w:p>
      <w:pPr>
        <w:spacing w:line="360" w:after="100"/>
        <w:jc w:val="both"/>
      </w:pPr>
      <w:r>
        <w:t xml:space="preserve">Tax Management in NetSuite aligns with Tax Compliance tracking in E28. This component maintains tax jurisdiction requirements, calculates tax obligations across campaign activities, manages tax return preparation support, and ensures audit-ready documentation. For political campaigns, this includes sales tax on merchandise, employment tax withholdings, 1099-NEC contractor tracking, and FEC reporting requirements.</w:t>
      </w:r>
    </w:p>
    <w:p>
      <w:pPr>
        <w:spacing w:line="360" w:after="100"/>
        <w:jc w:val="both"/>
      </w:pPr>
      <w:r>
        <w:t xml:space="preserve">NetSuite's Audit Management module is implemented as the Audit Trail and Exception Reporting system within E28. This feature captures complete transaction history, tracks approval workflows, maintains user action logging, identifies policy exceptions, and generates compliance reports. Every financial transaction is audit-enabled with source documentation links, approval authorization, and change history.</w:t>
      </w:r>
    </w:p>
    <w:p>
      <w:pPr>
        <w:spacing w:line="360" w:after="100"/>
        <w:jc w:val="both"/>
      </w:pPr>
      <w:r>
        <w:t xml:space="preserve">The Financial Reporting Suite from NetSuite is fully implemented in E28, providing campaign finance directors with comprehensive reporting capabilities. Reports include income statements by campaign phase, balance sheets showing financial position, cash flow statements tracking liquidity, fund balance reporting for restricted donations, and custom financial analysis reports. All reports support drill-down to transaction detail and export to Excel.</w:t>
      </w:r>
    </w:p>
    <w:p>
      <w:pPr>
        <w:spacing w:line="360" w:after="100"/>
        <w:jc w:val="both"/>
      </w:pPr>
      <w:r>
        <w:t xml:space="preserve">Budgeting and Forecasting capabilities are integrated between E28 and E11, providing campaign planners with sophisticated financial modeling tools. The system creates operating budgets by expense category, generates rolling forecasts based on actuals-to-date, models revenue scenarios under different assumptions, and provides variance analysis comparing budget to actual results with commentary on significant differences.</w:t>
      </w:r>
    </w:p>
    <w:p>
      <w:pPr>
        <w:spacing w:line="360" w:after="100"/>
        <w:jc w:val="both"/>
      </w:pPr>
      <w:r>
        <w:t xml:space="preserve">Expense Management in NetSuite translates to campaign-specific expense tracking and reimbursement workflows in E28. This component captures out-of-pocket expenses from campaign staff and volunteers, routes reimbursement requests through approval hierarchies, tracks mileage and meal expenses with supporting documentation, and records reimbursements in the general ledger with proper cost allocation.</w:t>
      </w:r>
    </w:p>
    <w:p>
      <w:pPr>
        <w:spacing w:line="360" w:after="100"/>
        <w:jc w:val="both"/>
      </w:pPr>
      <w:r>
        <w:t xml:space="preserve">Procurement capabilities in NetSuite are implemented as Procurement Management in E28. This system manages purchase requisitions, purchase orders to vendors, receipt of goods and services, three-way invoice matching, and payment authorization. Procurement rules enforce spending limits, vendor approval lists, contract terms compliance, and budget availability checks before commitments.</w:t>
      </w:r>
    </w:p>
    <w:p>
      <w:pPr>
        <w:spacing w:line="360" w:after="100"/>
        <w:jc w:val="both"/>
      </w:pPr>
      <w:r>
        <w:t xml:space="preserve">Order Management from NetSuite is adapted as Campaign Activity Order Management in E28. This tracks campaign-related orders including event production orders, media buy orders, merchandise production orders, and service contracts. The system manages order-to-fulfillment lifecycle, captures costs against campaigns, and interfaces with revenue tracking for merchandise and event income.</w:t>
      </w:r>
    </w:p>
    <w:p>
      <w:pPr>
        <w:spacing w:line="360" w:after="100"/>
        <w:jc w:val="both"/>
      </w:pPr>
      <w:r>
        <w:t xml:space="preserve">Project Accounting in NetSuite aligns with Project Accounting in E28 for major campaign initiatives. Large projects such as targeted voter outreach initiatives, digital campaign launches, event productions, or campaign infrastructure buildouts are tracked as projects with project-level budgeting, cost tracking, profitability analysis, and resource allocation. Projects roll up to overall campaign financial reporting.</w:t>
      </w:r>
    </w:p>
    <w:p>
      <w:pPr>
        <w:spacing w:line="360" w:after="100"/>
        <w:jc w:val="both"/>
      </w:pPr>
      <w:r>
        <w:t xml:space="preserve">Currency Management in NetSuite is implemented where relevant for international fundraising or multi-currency campaign activities. The system handles foreign currency transactions, applies daily exchange rates, revalues foreign currency balances, and reports foreign exchange gains and losses. For multi-jurisdiction campaigns, the system supports transaction currencies with reporting in base campaign currency.</w:t>
      </w:r>
    </w:p>
    <w:p>
      <w:pPr>
        <w:spacing w:line="360" w:after="100"/>
        <w:jc w:val="both"/>
      </w:pPr>
      <w:r>
        <w:t xml:space="preserve">Consolidated Reporting in NetSuite is fully replicated in E28 for multi-entity campaign organizations. The system produces consolidated financial statements, eliminates inter-campaign transactions, tracks consolidation adjustments, and provides drill-down capability to individual campaign results. Consolidation rules are configurable for different organizational structures and reporting requirements.</w:t>
      </w:r>
    </w:p>
    <w:p>
      <w:pPr>
        <w:spacing w:line="360" w:after="100"/>
        <w:jc w:val="both"/>
      </w:pPr>
      <w:r>
        <w:t xml:space="preserve">Role-Based Dashboards from NetSuite are implemented throughout E28 with dashboard views tailored to different user roles. Campaign treasurers see financial position summaries, finance managers see detailed transaction activity, executive directors see KPI dashboards, and compliance officers see audit and exception dashboards. Each role has customized information access reflecting their responsibilities.</w:t>
      </w:r>
    </w:p>
    <w:p>
      <w:pPr>
        <w:spacing w:line="360" w:after="100"/>
        <w:jc w:val="both"/>
      </w:pPr>
      <w:r>
        <w:t xml:space="preserve">Workflow Approvals in NetSuite are fully replicated in E28 for all financial transactions requiring authorization. Payment approvals enforce spending limits and policy compliance, journal entry approvals ensure accuracy and proper authorization, purchase order approvals check budget availability and vendor approval status, and expense reimbursement approvals validate documentation and policy compliance.</w:t>
      </w:r>
    </w:p>
    <w:p>
      <w:pPr>
        <w:spacing w:line="360" w:after="100"/>
        <w:jc w:val="both"/>
      </w:pPr>
      <w:r>
        <w:t xml:space="preserve">SuiteAnalytics capabilities from NetSuite are implemented through integration with E20 Brain and the advanced reporting module within E28. The system provides sophisticated financial analytics including trend analysis, variance analysis, ratio analysis, profitability analysis, and predictive financial forecasting. Analytics identify financial risks, opportunities, and key performance drivers.</w:t>
      </w:r>
    </w:p>
    <w:p>
      <w:pPr>
        <w:pStyle w:val="Heading1"/>
        <w:pBdr>
          <w:bottom w:val="single" w:color="000000" w:sz="6" w:space="1"/>
        </w:pBdr>
        <w:spacing w:before="400" w:after="200"/>
      </w:pPr>
      <w:r>
        <w:t xml:space="preserve">SECTION 2: USER JOURNEY</w:t>
      </w:r>
    </w:p>
    <w:p>
      <w:pPr>
        <w:spacing w:line="360" w:after="100"/>
        <w:jc w:val="both"/>
      </w:pPr>
      <w:r>
        <w:t xml:space="preserve">The primary user journey within E28 Financial Management begins when a campaign treasurer or finance director logs into the system at the start of their workday. The user immediately encounters the consolidated financial position dashboard, which displays critical metrics including current campaign cash position, monthly revenue and expense trends, budget utilization percentages, and flagged exceptions requiring attention.</w:t>
      </w:r>
    </w:p>
    <w:p>
      <w:pPr>
        <w:spacing w:line="360" w:after="100"/>
        <w:jc w:val="both"/>
      </w:pPr>
      <w:r>
        <w:t xml:space="preserve">The finance director's primary objective is to understand the complete financial status of all campaign activities under their responsibility. The consolidated view eliminates the need to navigate multiple systems or manually consolidate information from disparate sources. Cash balance displays update in real-time based on bank connections and transaction processing, providing absolute confidence in liquidity position.</w:t>
      </w:r>
    </w:p>
    <w:p>
      <w:pPr>
        <w:spacing w:line="360" w:after="100"/>
        <w:jc w:val="both"/>
      </w:pPr>
      <w:r>
        <w:t xml:space="preserve">The user reviews the current period's revenue performance by examining the Donation Revenue Recognition dashboard, which links directly to E02 Donation ecosystem. This integration shows current period donations received, multi-year giving trends, recurring donor status, and event-based revenue performance. Revenue anomalies are highlighted automatically by E20 Brain integration, flagging unusual donation patterns for investigation.</w:t>
      </w:r>
    </w:p>
    <w:p>
      <w:pPr>
        <w:spacing w:line="360" w:after="100"/>
        <w:jc w:val="both"/>
      </w:pPr>
      <w:r>
        <w:t xml:space="preserve">For budget management, the finance director navigates to E11 Budget integration, which displays detailed budget-to-actual variance analysis. The user can drill down from budget category variance into specific transactions causing the variance, view project-level budget performance, and access budget modification requests submitted by campaign managers. Trend analysis identifies whether variances are temporary timing issues or indicate sustained over/under spending.</w:t>
      </w:r>
    </w:p>
    <w:p>
      <w:pPr>
        <w:spacing w:line="360" w:after="100"/>
        <w:jc w:val="both"/>
      </w:pPr>
      <w:r>
        <w:t xml:space="preserve">Compliance reporting requirements are addressed through the E10 Compliance integration link, which triggers audit-ready financial report generation. The finance director can view FEC compliance status, generate required FEC financial disclosure reports, validate that all transactions are properly categorized for compliance purposes, and address any compliance exceptions identified by the system.</w:t>
      </w:r>
    </w:p>
    <w:p>
      <w:pPr>
        <w:spacing w:line="360" w:after="100"/>
        <w:jc w:val="both"/>
      </w:pPr>
      <w:r>
        <w:t xml:space="preserve">The user processes outstanding financial tasks through the notifications panel, which provides prioritized workflow items. Payment approvals display vendor bills awaiting authorization with spending limit and budget availability indicators. Journal entry reviews queue complex transactions requiring validation. Expense reimbursements await approval with supporting documentation. The user processes these items sequentially, with system assistance providing context and validation.</w:t>
      </w:r>
    </w:p>
    <w:p>
      <w:pPr>
        <w:spacing w:line="360" w:after="100"/>
        <w:jc w:val="both"/>
      </w:pPr>
      <w:r>
        <w:t xml:space="preserve">Bank reconciliation tasks are initiated from the Reconciliation dashboard. The finance director selects the campaign checking account, downloads the latest bank statement, and the system automatically matches transactions to recorded entries. Unmatched items are highlighted for investigation. Outstanding checks are identified and aged. The user resolves discrepancies and posts reconciliation entries. Multi-account reconciliation for savings, merchant accounts, and fundraising platform settlements follows similar workflows.</w:t>
      </w:r>
    </w:p>
    <w:p>
      <w:pPr>
        <w:spacing w:line="360" w:after="100"/>
        <w:jc w:val="both"/>
      </w:pPr>
      <w:r>
        <w:t xml:space="preserve">For period-end closing activities, the finance director follows a structured checklist within E28. The system guides the user through account reconciliations, provides exception reports identifying unusual transactions requiring research, facilitates accrual journal entries for unpaid expenses, generates trial balance for review, and ultimately produces closing financial statements. The closing process is structured to ensure nothing is overlooked and all activities are properly documented.</w:t>
      </w:r>
    </w:p>
    <w:p>
      <w:pPr>
        <w:spacing w:line="360" w:after="100"/>
        <w:jc w:val="both"/>
      </w:pPr>
      <w:r>
        <w:t xml:space="preserve">Year-end activities for campaign closure involve special procedures within E28. The system facilitates final financial statement preparation, documents all period-end adjustments, retires temporary accounts, archives transaction detail with full audit trail, and produces final campaign financial reports meeting nonprofit and campaign-specific requirements. Documentation for audit and regulatory compliance is compiled automatically.</w:t>
      </w:r>
    </w:p>
    <w:p>
      <w:pPr>
        <w:spacing w:line="360" w:after="100"/>
        <w:jc w:val="both"/>
      </w:pPr>
      <w:r>
        <w:t xml:space="preserve">Throughout the user journey, E28 maintains complete transaction traceability. Any financial figure the user views can be traced back to supporting source documents. General ledger accounts link to underlying transactions. Transactions link to supporting documents. Approval authorizations are documented with user identity and timestamp. This traceability is essential for campaign financial credibility and audit readiness.</w:t>
      </w:r>
    </w:p>
    <w:p>
      <w:pPr>
        <w:spacing w:line="360" w:after="100"/>
        <w:jc w:val="both"/>
      </w:pPr>
      <w:r>
        <w:t xml:space="preserve">The finance director leverages E20 Brain integration to anticipate financial challenges. The AI component analyzes spending patterns and revenue trends to forecast potential cash flow issues, identifies unusual transactions that might indicate fraud or error, suggests budget adjustments based on performance trends, and highlights opportunities for cost optimization. These insights inform financial decision-making across the campaign.</w:t>
      </w:r>
    </w:p>
    <w:p>
      <w:pPr>
        <w:spacing w:line="360" w:after="100"/>
        <w:jc w:val="both"/>
      </w:pPr>
      <w:r>
        <w:t xml:space="preserve">Mobile access to E28 enables the finance director to monitor financial position from anywhere, approve pending transactions remotely, respond to time-sensitive issues, and stay informed about campaign financial health. Mobile dashboards surface critical information with minimalist interface design. Payment approvals can be mobile-processed with enhanced security procedures. This mobility ensures financial operations continue uninterrupted regardless of physical location.</w:t>
      </w:r>
    </w:p>
    <w:p>
      <w:pPr>
        <w:pStyle w:val="Heading1"/>
        <w:pBdr>
          <w:bottom w:val="single" w:color="000000" w:sz="6" w:space="1"/>
        </w:pBdr>
        <w:spacing w:before="400" w:after="200"/>
      </w:pPr>
      <w:r>
        <w:t xml:space="preserve">SECTION 3: COMMAND CENTER</w:t>
      </w:r>
    </w:p>
    <w:p>
      <w:pPr>
        <w:spacing w:line="360" w:after="100"/>
        <w:jc w:val="both"/>
      </w:pPr>
      <w:r>
        <w:t xml:space="preserve">The E28 Command Center serves as the operational hub for all financial management activities, designed with dual theme support (white/light and dark modes) to accommodate user preference and lighting conditions. The Command Center aggregates all campaign financial data through a series of specialized modules, each focusing on specific financial functions while maintaining integration with the broader ecosystem.</w:t>
      </w:r>
    </w:p>
    <w:p>
      <w:pPr>
        <w:pStyle w:val="Heading2"/>
        <w:spacing w:before="200" w:after="100"/>
      </w:pPr>
      <w:r>
        <w:t xml:space="preserve">General Ledger Module</w:t>
      </w:r>
    </w:p>
    <w:p>
      <w:pPr>
        <w:spacing w:line="360" w:after="100"/>
        <w:jc w:val="both"/>
      </w:pPr>
      <w:r>
        <w:t xml:space="preserve">The General Ledger module within the Command Center provides complete double-entry accounting functionality. The Chart of Accounts displays all account hierarchies with descriptions, account types (asset, liability, equity, revenue, expense), GL account numbers, and posting rules. Users can add accounts, modify account properties, and generate reports of accounts by type or department.</w:t>
      </w:r>
    </w:p>
    <w:p>
      <w:pPr>
        <w:spacing w:line="360" w:after="100"/>
        <w:jc w:val="both"/>
      </w:pPr>
      <w:r>
        <w:t xml:space="preserve">The Journal Entries interface allows authorized users to create manual journal entries for complex transactions that don't flow through standard processes. The interface enforces double-entry accounting with debit/credit entry fields, provides account lookups with descriptions, calculates automatic offsetting entries where applicable, and routes entries through approval workflow based on amount and account type. Historical entries are searchable and modifiable with version control.</w:t>
      </w:r>
    </w:p>
    <w:p>
      <w:pPr>
        <w:spacing w:line="360" w:after="100"/>
        <w:jc w:val="both"/>
      </w:pPr>
      <w:r>
        <w:t xml:space="preserve">The Trial Balance report displays all GL accounts with current period and year-to-date debit and credit balances. The report validates that total debits equal total credits, identifies accounts with unusual balances, and provides basis for financial statement preparation. Monthly trial balances are archived for historical comparison and audit trail documentation.</w:t>
      </w:r>
    </w:p>
    <w:p>
      <w:pPr>
        <w:spacing w:line="360" w:after="100"/>
        <w:jc w:val="both"/>
      </w:pPr>
      <w:r>
        <w:t xml:space="preserve">Closing Procedures are guided by a structured workflow within the Command Center. The system verifies all transactions have been recorded and reviewed, identifies accounts requiring period-end adjustments, facilitates accrual entries, produces adjusted trial balance, closes temporary accounts, and rolls forward permanent accounts. Documentation of all closing entries and approvals is maintained for audit purposes.</w:t>
      </w:r>
    </w:p>
    <w:p>
      <w:pPr>
        <w:spacing w:line="360" w:after="100"/>
        <w:jc w:val="both"/>
      </w:pPr>
      <w:r>
        <w:t xml:space="preserve">DATA SCHEMA - General Ledger Functions: GL Function | Field Name | Data Type | Source | Description. Chart of Accounts: Account Number | Text (max 10) | Manual entry | Unique account identifier. Chart of Accounts: Account Description | Text (max 100) | Manual entry | Human-readable account name. Chart of Accounts: Account Type | Dropdown | Lookup table | Asset/Liability/Equity/Revenue/Expense. Journal Entries: Entry Date | Date | System | Date entry is effective. Journal Entries: Debit Account | GL Account | Lookup | Account receiving debit entry. Journal Entries: Debit Amount | Currency | Manual entry | Debit entry amount. Journal Entries: Credit Account | GL Account | Lookup | Account receiving credit entry.</w:t>
      </w:r>
    </w:p>
    <w:p>
      <w:pPr>
        <w:pStyle w:val="Heading2"/>
        <w:spacing w:before="200" w:after="100"/>
      </w:pPr>
      <w:r>
        <w:t xml:space="preserve">Revenue Module</w:t>
      </w:r>
    </w:p>
    <w:p>
      <w:pPr>
        <w:spacing w:line="360" w:after="100"/>
        <w:jc w:val="both"/>
      </w:pPr>
      <w:r>
        <w:t xml:space="preserve">The Revenue module tracks all incoming campaign financial resources. Donation Revenue by Source displays contributions organized by donation channel: direct mail, online fundraising, events, major donors, recurring giving, and corporate contributions. Revenue trend analysis shows month-over-month growth or decline for each channel. Source attribution analysis identifies which channels are most cost-effective for future fundraising strategy.</w:t>
      </w:r>
    </w:p>
    <w:p>
      <w:pPr>
        <w:spacing w:line="360" w:after="100"/>
        <w:jc w:val="both"/>
      </w:pPr>
      <w:r>
        <w:t xml:space="preserve">Recurring Revenue tracking identifies donors committed to ongoing contributions. The system displays monthly recurring revenue (MRR), annual recurring revenue (ARR), churn rate, and donor retention rates. Recurring donors are tracked with notification alerts when recurring gifts fail to process, enabling rapid resolution. Lifetime value calculations estimate total expected revenue from recurring donors.</w:t>
      </w:r>
    </w:p>
    <w:p>
      <w:pPr>
        <w:spacing w:line="360" w:after="100"/>
        <w:jc w:val="both"/>
      </w:pPr>
      <w:r>
        <w:t xml:space="preserve">Event Revenue management captures income from campaign fundraising events. Event-level revenue tracking shows event name, event date, gross revenue, attendance, revenue per attendee, and profitability analysis. Event-related expenses are linked to event revenue for net profit calculation. Post-event follow-up dashboards support stewardship and next-event promotion.</w:t>
      </w:r>
    </w:p>
    <w:p>
      <w:pPr>
        <w:spacing w:line="360" w:after="100"/>
        <w:jc w:val="both"/>
      </w:pPr>
      <w:r>
        <w:t xml:space="preserve">Merchandise Revenue tracks income from campaign merchandise sales including clothing, bumper stickers, signs, and digital products. Merchandise inventory integration tracks stock levels and reorder triggers. Revenue recognition differentiates between donated merchandise revenue (fair market value) and purchased merchandise revenue (cost). Profitability analysis by product category informs inventory strategy.</w:t>
      </w:r>
    </w:p>
    <w:p>
      <w:pPr>
        <w:spacing w:line="360" w:after="100"/>
        <w:jc w:val="both"/>
      </w:pPr>
      <w:r>
        <w:t xml:space="preserve">Peer-to-Peer (P2P) Revenue from fundraising networks shows aggregated results across P2P campaigner fundraising efforts. Individual fundraiser performance is tracked with leaderboards. P2P revenue sources are identified with attribution to specific fundraising campaigns. P2P fundraiser communications are coordinated through the integrated platform.</w:t>
      </w:r>
    </w:p>
    <w:p>
      <w:pPr>
        <w:spacing w:line="360" w:after="100"/>
        <w:jc w:val="both"/>
      </w:pPr>
      <w:r>
        <w:t xml:space="preserve">DATA SCHEMA - Revenue Functions: Revenue Type | Field Name | Data Type | Source | Description. Donation Revenue: Donor ID | Text | E02 Donation | Linked donor record. Donation Revenue: Donation Amount | Currency | E02 Donation | Contribution amount. Donation Revenue: Revenue Source | Dropdown | Lookup table | Direct mail/Online/Event/Major donor. Recurring Revenue: Monthly Recurring Revenue | Currency | Calculated | Sum of active monthly pledges. Event Revenue: Event Name | Text | E07 Events | Event identifier. Event Revenue: Gross Event Revenue | Currency | Calculated | Total event income. Merchandise Revenue: Product SKU | Text | Inventory system | Product identifier.</w:t>
      </w:r>
    </w:p>
    <w:p>
      <w:pPr>
        <w:pStyle w:val="Heading2"/>
        <w:spacing w:before="200" w:after="100"/>
      </w:pPr>
      <w:r>
        <w:t xml:space="preserve">Payables Module</w:t>
      </w:r>
    </w:p>
    <w:p>
      <w:pPr>
        <w:spacing w:line="360" w:after="100"/>
        <w:jc w:val="both"/>
      </w:pPr>
      <w:r>
        <w:t xml:space="preserve">The Payables module manages all campaign financial obligations. Vendor Bills display all outstanding invoices with invoice number, vendor name, invoice date, due date, amount, and approval status. The system generates aging reports showing bills by days outstanding. Duplicate invoice detection prevents duplicate payments. Invoice imaging links supporting documentation to each bill.</w:t>
      </w:r>
    </w:p>
    <w:p>
      <w:pPr>
        <w:spacing w:line="360" w:after="100"/>
        <w:jc w:val="both"/>
      </w:pPr>
      <w:r>
        <w:t xml:space="preserve">Payment Approvals route vendor bills through authorization workflows based on amount and vendor category. Small payments below policy thresholds are auto-approved. Large payments require supervisory approval. All payments are audited with approval documentation. Approval chain can be overridden with supervisor authorization for time-critical payments. Exception reports identify bottlenecks in approval queue.</w:t>
      </w:r>
    </w:p>
    <w:p>
      <w:pPr>
        <w:spacing w:line="360" w:after="100"/>
        <w:jc w:val="both"/>
      </w:pPr>
      <w:r>
        <w:t xml:space="preserve">Check Writing functionality manages physical check payments to vendors. The system generates check registers, supports check signing by authorized signatories, prevents check fraud through segregation of duties, and maintains check stock inventory. Electronic check printing uses secure check stock and MICR-encoded information. Check numbering is sequential with break detection. Voided checks are tracked.</w:t>
      </w:r>
    </w:p>
    <w:p>
      <w:pPr>
        <w:spacing w:line="360" w:after="100"/>
        <w:jc w:val="both"/>
      </w:pPr>
      <w:r>
        <w:t xml:space="preserve">ACH Payments enable electronic direct deposit to vendor bank accounts. The system manages vendor banking information, generates ACH files in standard format, routes files through approval workflow, processes bank transmission, and tracks ACH status. Same-day ACH is available for time-critical payments. ACH transmission records are maintained for reconciliation.</w:t>
      </w:r>
    </w:p>
    <w:p>
      <w:pPr>
        <w:spacing w:line="360" w:after="100"/>
        <w:jc w:val="both"/>
      </w:pPr>
      <w:r>
        <w:t xml:space="preserve">Payment History displays all historical payments by vendor, date, amount, and GL account coding. Vendor performance metrics track payment timeliness by vendor. Payment history analysis supports vendor evaluation and discount opportunity identification. Payments are searchable by vendor, date range, amount, and description.</w:t>
      </w:r>
    </w:p>
    <w:p>
      <w:pPr>
        <w:spacing w:line="360" w:after="100"/>
        <w:jc w:val="both"/>
      </w:pPr>
      <w:r>
        <w:t xml:space="preserve">DATA SCHEMA - Payables Functions: Payables Function | Field Name | Data Type | Source | Description. Vendor Bills: Vendor Name | Text | Vendor master | Vendor entity name. Vendor Bills: Invoice Number | Text | Manual entry | Vendor invoice identifier. Vendor Bills: Invoice Amount | Currency | Manual entry | Invoice total. Vendor Bills: Invoice Date | Date | Manual entry | Date invoice issued. Vendor Bills: Due Date | Date | Calculated | Invoice payment due. Payments: Payment Method | Dropdown | Lookup | Check/ACH/Wire/Credit card. Payments: Payment Amount | Currency | Manual entry | Payment total.</w:t>
      </w:r>
    </w:p>
    <w:p>
      <w:pPr>
        <w:pStyle w:val="Heading2"/>
        <w:spacing w:before="200" w:after="100"/>
      </w:pPr>
      <w:r>
        <w:t xml:space="preserve">Assets Module</w:t>
      </w:r>
    </w:p>
    <w:p>
      <w:pPr>
        <w:spacing w:line="360" w:after="100"/>
        <w:jc w:val="both"/>
      </w:pPr>
      <w:r>
        <w:t xml:space="preserve">The Assets module tracks campaign-owned resources. Office Equipment displays all office furniture, computers, and fixtures with acquisition date, cost, accumulated depreciation, and current book value. Equipment aging analysis informs replacement planning. Depreciation is calculated automatically based on asset class and useful life.</w:t>
      </w:r>
    </w:p>
    <w:p>
      <w:pPr>
        <w:spacing w:line="360" w:after="100"/>
        <w:jc w:val="both"/>
      </w:pPr>
      <w:r>
        <w:t xml:space="preserve">Campaign Materials inventory tracking monitors signage, promotional materials, and voter contact materials. Inventory levels trigger reorder alerts. Material costs are tracked and allocated to campaigns. Inventory turnover analysis identifies slow-moving materials. Physical count reconciliation ensures accuracy.</w:t>
      </w:r>
    </w:p>
    <w:p>
      <w:pPr>
        <w:spacing w:line="360" w:after="100"/>
        <w:jc w:val="both"/>
      </w:pPr>
      <w:r>
        <w:t xml:space="preserve">Vehicle and Mileage tracking manages campaign vehicles and volunteer mileage. Vehicle maintenance costs are tracked. Mileage reimbursements to volunteers are calculated at IRS rates. Vehicle utilization reports show usage by driver and purpose. Fuel expenses are monitored for fleet optimization.</w:t>
      </w:r>
    </w:p>
    <w:p>
      <w:pPr>
        <w:spacing w:line="360" w:after="100"/>
        <w:jc w:val="both"/>
      </w:pPr>
      <w:r>
        <w:t xml:space="preserve">Technology Assets inventory lists computers, servers, software licenses, and network equipment. Asset tracking includes purchase date, cost, warranty expiration, support contracts, and depreciation. Technology asset lifecycle management identifies aging equipment for replacement. Software licenses are tracked for renewal and compliance.</w:t>
      </w:r>
    </w:p>
    <w:p>
      <w:pPr>
        <w:spacing w:line="360" w:after="100"/>
        <w:jc w:val="both"/>
      </w:pPr>
      <w:r>
        <w:t xml:space="preserve">DATA SCHEMA - Assets Functions: Asset Category | Field Name | Data Type | Source | Description. Office Equipment: Asset Tag | Text | Manual entry | Unique asset identifier. Office Equipment: Acquisition Cost | Currency | Manual entry | Original purchase price. Office Equipment: Accumulated Depreciation | Currency | Calculated | Total depreciation to date. Campaign Materials: Material Type | Dropdown | Lookup | Signs/Brochures/Digital materials. Campaign Materials: Quantity on Hand | Number | Inventory system | Current stock level. Vehicle/Mileage: Vehicle ID | Text | Manual entry | License plate or asset tag. Vehicle/Mileage: Mileage Reimbursement Rate | Currency | Lookup - IRS rate | Per-mile reimbursement amount.</w:t>
      </w:r>
    </w:p>
    <w:p>
      <w:pPr>
        <w:pStyle w:val="Heading2"/>
        <w:spacing w:before="200" w:after="100"/>
      </w:pPr>
      <w:r>
        <w:t xml:space="preserve">Reconciliation Module</w:t>
      </w:r>
    </w:p>
    <w:p>
      <w:pPr>
        <w:spacing w:line="360" w:after="100"/>
        <w:jc w:val="both"/>
      </w:pPr>
      <w:r>
        <w:t xml:space="preserve">Bank Statements integration connects to campaign banking providers for automated statement download. The system displays transaction-by-transaction reconciliation matching bank transactions to recorded entries. Outstanding checks are identified and aged. Outstanding deposits are tracked. Timing differences are categorized. The reconciliation completes when all transactions are matched.</w:t>
      </w:r>
    </w:p>
    <w:p>
      <w:pPr>
        <w:spacing w:line="360" w:after="100"/>
        <w:jc w:val="both"/>
      </w:pPr>
      <w:r>
        <w:t xml:space="preserve">Credit Card Statement reconciliation tracks campaign credit card usage. Merchant categories are analyzed for budget coding. Personal vs. campaign use is verified. Reconciliation validates that all card transactions are recorded. Outstanding charges are identified. Credit card statements are archived for audit.</w:t>
      </w:r>
    </w:p>
    <w:p>
      <w:pPr>
        <w:spacing w:line="360" w:after="100"/>
        <w:jc w:val="both"/>
      </w:pPr>
      <w:r>
        <w:t xml:space="preserve">Merchant Account reconciliation for online fundraising connects to payment processors. The system downloads settlement data, matches transactions to donations recorded in the system, reconciles fees and chargebacks, and produces merchant reconciliation reports. Failed transactions are investigated and resubmitted where appropriate.</w:t>
      </w:r>
    </w:p>
    <w:p>
      <w:pPr>
        <w:spacing w:line="360" w:after="100"/>
        <w:jc w:val="both"/>
      </w:pPr>
      <w:r>
        <w:t xml:space="preserve">PayPal and Stripe reconciliation integrates with these popular online fundraising platforms. The system downloads transaction files, matches deposits to recorded donations, accounts for platform fees and chargebacks, and reconciles account balances. Multi-account reconciliation is supported for different platform uses.</w:t>
      </w:r>
    </w:p>
    <w:p>
      <w:pPr>
        <w:spacing w:line="360" w:after="100"/>
        <w:jc w:val="both"/>
      </w:pPr>
      <w:r>
        <w:t xml:space="preserve">DATA SCHEMA - Reconciliation Functions: Reconciliation Type | Field Name | Data Type | Source | Description. Bank Reconciliation: Bank Account Number | Text | Manual entry | Campaign bank account. Bank Reconciliation: Bank Statement Date | Date | Bank system | Statement period end. Bank Reconciliation: Bank Balance | Currency | Bank system | Bank statement ending balance. Bank Reconciliation: Book Balance | Currency | General ledger | Recorded account balance. Bank Reconciliation: Outstanding Checks | Currency | Check register | Total of uncleared checks. Merchant Account: Settlement Amount | Currency | Processor system | Deposited transaction amount. Merchant Account: Processing Fees | Currency | Processor system | Discount and service fees.</w:t>
      </w:r>
    </w:p>
    <w:p>
      <w:pPr>
        <w:pStyle w:val="Heading1"/>
        <w:pBdr>
          <w:bottom w:val="single" w:color="000000" w:sz="6" w:space="1"/>
        </w:pBdr>
        <w:spacing w:before="400" w:after="200"/>
      </w:pPr>
      <w:r>
        <w:t xml:space="preserve">SECTION 4: ADMIN PANEL</w:t>
      </w:r>
    </w:p>
    <w:p>
      <w:pPr>
        <w:spacing w:line="360" w:after="100"/>
        <w:jc w:val="both"/>
      </w:pPr>
      <w:r>
        <w:t xml:space="preserve">The E28 Admin Panel provides campaign financial leadership with high-level financial management and strategic oversight capabilities. Designed with dark/light theme support (black/light mode), the Admin Panel aggregates the most critical financial information for decision-making, forecasting, and compliance monitoring.</w:t>
      </w:r>
    </w:p>
    <w:p>
      <w:pPr>
        <w:pStyle w:val="Heading2"/>
        <w:spacing w:before="200" w:after="100"/>
      </w:pPr>
      <w:r>
        <w:t xml:space="preserve">Financial Statements</w:t>
      </w:r>
    </w:p>
    <w:p>
      <w:pPr>
        <w:spacing w:line="360" w:after="100"/>
        <w:jc w:val="both"/>
      </w:pPr>
      <w:r>
        <w:t xml:space="preserve">Income Statement reporting displays campaign revenues by source and expenses by category for the current period and year-to-date. The statement shows gross revenue, net revenue after direct costs, operating expenses, and net operating income or loss. Period-over-period comparison identifies revenue and expense trends. Commentary sections explain significant variances. Income statements are generated automatically from the general ledger at any point in time.</w:t>
      </w:r>
    </w:p>
    <w:p>
      <w:pPr>
        <w:spacing w:line="360" w:after="100"/>
        <w:jc w:val="both"/>
      </w:pPr>
      <w:r>
        <w:t xml:space="preserve">Balance Sheet reporting displays campaign assets, liabilities, and fund balance at a specific point in time. Assets are categorized as current or non-current. Liabilities are categorized as current or long-term. Fund balance shows restricted and unrestricted amounts. The balance sheet is fundamental for understanding financial position and solvency. Balance sheets are generated for period-end closing and on-demand for reporting.</w:t>
      </w:r>
    </w:p>
    <w:p>
      <w:pPr>
        <w:spacing w:line="360" w:after="100"/>
        <w:jc w:val="both"/>
      </w:pPr>
      <w:r>
        <w:t xml:space="preserve">Cash Flow Statement reporting shows cash generated from operations, investing activities, and financing activities. The statement identifies whether operations are cash flow positive or negative. Capital expenditures and financing needs are highlighted. Cash position trends inform liquidity management. Cash flow forecasting helps prevent cash crunches during campaign activities.</w:t>
      </w:r>
    </w:p>
    <w:p>
      <w:pPr>
        <w:spacing w:line="360" w:after="100"/>
        <w:jc w:val="both"/>
      </w:pPr>
      <w:r>
        <w:t xml:space="preserve">Fund Balance reporting for campaigns receiving restricted donations shows how restricted funds are being deployed. Donor restrictions are tracked by donation. Restricted fund use is monitored for compliance with donor intent. Fund balance statements separately report unrestricted, temporarily restricted, and permanently restricted balances following nonprofit accounting standards.</w:t>
      </w:r>
    </w:p>
    <w:p>
      <w:pPr>
        <w:pStyle w:val="Heading2"/>
        <w:spacing w:before="200" w:after="100"/>
      </w:pPr>
      <w:r>
        <w:t xml:space="preserve">KPI Dashboard</w:t>
      </w:r>
    </w:p>
    <w:p>
      <w:pPr>
        <w:spacing w:line="360" w:after="100"/>
        <w:jc w:val="both"/>
      </w:pPr>
      <w:r>
        <w:t xml:space="preserve">Current Ratio (current assets divided by current liabilities) measures short-term financial health. Ratios above 1.0 indicate sufficient current assets to cover current liabilities. The dashboard displays current ratio trends. Ratio deterioration triggers alerts. Industry benchmarks provide context for ratio interpretation.</w:t>
      </w:r>
    </w:p>
    <w:p>
      <w:pPr>
        <w:spacing w:line="360" w:after="100"/>
        <w:jc w:val="both"/>
      </w:pPr>
      <w:r>
        <w:t xml:space="preserve">Burn Rate (monthly operating expenses) indicates campaign cash consumption. Burn rate is tracked by category and in total. Burn rate trends identify cost control success or challenges. Cash runway calculations project how many months of operations can be supported by current cash position. Burn rate reduction is a key financial objective as campaigns progress.</w:t>
      </w:r>
    </w:p>
    <w:p>
      <w:pPr>
        <w:spacing w:line="360" w:after="100"/>
        <w:jc w:val="both"/>
      </w:pPr>
      <w:r>
        <w:t xml:space="preserve">Revenue Growth rate tracks month-over-month and year-over-year revenue increase or decline. Growth rates are calculated by revenue source to identify which channels are accelerating. Revenue growth targets are set for different campaign phases. Achievement of revenue growth targets validates fundraising strategy effectiveness.</w:t>
      </w:r>
    </w:p>
    <w:p>
      <w:pPr>
        <w:spacing w:line="360" w:after="100"/>
        <w:jc w:val="both"/>
      </w:pPr>
      <w:r>
        <w:t xml:space="preserve">Cost Per Dollar Raised calculates the fundraising cost to generate one dollar of revenue. This metric is calculated by fundraising channel and shows relative efficiency. Lower cost per dollar raised indicates more efficient fundraising. Industry benchmarks provide context. Cost per dollar raised targets drive fundraising optimization.</w:t>
      </w:r>
    </w:p>
    <w:p>
      <w:pPr>
        <w:spacing w:line="360" w:after="100"/>
        <w:jc w:val="both"/>
      </w:pPr>
      <w:r>
        <w:t xml:space="preserve">Overhead Ratio (operating expenses divided by total revenue) measures organizational efficiency. Lower overhead ratios indicate more revenue reaches campaign programs. Overhead targets are typically 20-30% depending on campaign stage. Overhead ratio trends inform spending policy. This metric is important for donor confidence and grant funding eligibility.</w:t>
      </w:r>
    </w:p>
    <w:p>
      <w:pPr>
        <w:pStyle w:val="Heading2"/>
        <w:spacing w:before="200" w:after="100"/>
      </w:pPr>
      <w:r>
        <w:t xml:space="preserve">Audit Dashboard</w:t>
      </w:r>
    </w:p>
    <w:p>
      <w:pPr>
        <w:spacing w:line="360" w:after="100"/>
        <w:jc w:val="both"/>
      </w:pPr>
      <w:r>
        <w:t xml:space="preserve">Journal Entry Review queue displays all manual journal entries awaiting approval. Each entry shows debit accounts, credit accounts, amounts, and business purpose. The reviewer validates entry accuracy and authorization appropriateness. Audit trails record review date, reviewer, and disposition. Approved entries post to the general ledger. Rejected entries are returned to the preparer with comments.</w:t>
      </w:r>
    </w:p>
    <w:p>
      <w:pPr>
        <w:spacing w:line="360" w:after="100"/>
        <w:jc w:val="both"/>
      </w:pPr>
      <w:r>
        <w:t xml:space="preserve">Approval Queue shows all financial transactions awaiting authorization. Payments over spending limits require supervisory approval. Expense reimbursements over thresholds need review. Purchase orders over budget limits require authorization. Approval workflows prevent unauthorized spending. Bottleneck identification helps ensure timely approvals.</w:t>
      </w:r>
    </w:p>
    <w:p>
      <w:pPr>
        <w:spacing w:line="360" w:after="100"/>
        <w:jc w:val="both"/>
      </w:pPr>
      <w:r>
        <w:t xml:space="preserve">Exception Report identifies transactions that don't follow normal patterns or violate policy. Unusual donation amounts or sources are flagged. Duplicate payments are detected. Payments to unapproved vendors are highlighted. Transactions without proper authorization are identified. Exceptions require investigation and documentation of resolution.</w:t>
      </w:r>
    </w:p>
    <w:p>
      <w:pPr>
        <w:spacing w:line="360" w:after="100"/>
        <w:jc w:val="both"/>
      </w:pPr>
      <w:r>
        <w:t xml:space="preserve">Compliance Status dashboard shows campaign compliance with financial policies and FEC regulations. Transaction categorization compliance is monitored. Prohibited transaction prevention is enforced. Audit trail completeness is verified. FEC reporting requirement fulfillment is tracked. Compliance exceptions are escalated to the compliance officer.</w:t>
      </w:r>
    </w:p>
    <w:p>
      <w:pPr>
        <w:pStyle w:val="Heading2"/>
        <w:spacing w:before="200" w:after="100"/>
      </w:pPr>
      <w:r>
        <w:t xml:space="preserve">Forecasting Module</w:t>
      </w:r>
    </w:p>
    <w:p>
      <w:pPr>
        <w:spacing w:line="360" w:after="100"/>
        <w:jc w:val="both"/>
      </w:pPr>
      <w:r>
        <w:t xml:space="preserve">Revenue Forecast projects future revenue based on historical patterns and current pipeline. Donation forecasts account for major donor commitments, recurring donor patterns, event revenue, and online fundraising trends. Forecast confidence levels reflect the quality of forecasting data. Scenario analysis models revenue under optimistic, baseline, and pessimistic assumptions. Forecast accuracy is tracked and forecasts are updated monthly.</w:t>
      </w:r>
    </w:p>
    <w:p>
      <w:pPr>
        <w:spacing w:line="360" w:after="100"/>
        <w:jc w:val="both"/>
      </w:pPr>
      <w:r>
        <w:t xml:space="preserve">Expense Forecast projects future spending based on authorized plans and spending patterns. Payroll expenses are forecast based on committed staffing. Vendor spending is forecast based on contract commitments. Event expenses are forecast for scheduled activities. Expense forecasts identify spending peaks and troughs. Budget variance analysis compares forecasts to budgets.</w:t>
      </w:r>
    </w:p>
    <w:p>
      <w:pPr>
        <w:spacing w:line="360" w:after="100"/>
        <w:jc w:val="both"/>
      </w:pPr>
      <w:r>
        <w:t xml:space="preserve">Cash Position Forecast projects future cash availability based on revenue forecasts minus expense forecasts. The forecast identifies months when cash is constrained and external financing may be needed. Cash position forecasts inform fundraising urgency and timing. Seasonal patterns in donation and spending are modeled. Stress testing models cash position if major revenue sources underperform.</w:t>
      </w:r>
    </w:p>
    <w:p>
      <w:pPr>
        <w:spacing w:line="360" w:after="100"/>
        <w:jc w:val="both"/>
      </w:pPr>
      <w:r>
        <w:t xml:space="preserve">Election Day Financial Target sets the financial position the campaign aims to achieve by election day. Target cash position is established based on post-election spending plans. Target leverage (debt to equity) is set based on risk tolerance. Achievement of financial targets validates that the campaign is on track financially. Deviation alerts trigger strategy recalibration.</w:t>
      </w:r>
    </w:p>
    <w:p>
      <w:pPr>
        <w:pStyle w:val="Heading1"/>
        <w:pBdr>
          <w:bottom w:val="single" w:color="000000" w:sz="6" w:space="1"/>
        </w:pBdr>
        <w:spacing w:before="400" w:after="200"/>
      </w:pPr>
      <w:r>
        <w:t xml:space="preserve">SECTION 5: E20 BRAIN INTEGRATION</w:t>
      </w:r>
    </w:p>
    <w:p>
      <w:pPr>
        <w:spacing w:line="360" w:after="100"/>
        <w:jc w:val="both"/>
      </w:pPr>
      <w:r>
        <w:t xml:space="preserve">The E28 Financial Management ecosystem integrates seamlessly with E20 Brain, the campaign's artificial intelligence financial operations center. E20 Brain applies machine learning algorithms to financial data to provide insights, predictions, and recommendations that enhance campaign financial decision-making. The integration operates across five primary dimensions.</w:t>
      </w:r>
    </w:p>
    <w:p>
      <w:pPr>
        <w:pStyle w:val="Heading2"/>
        <w:spacing w:before="200" w:after="100"/>
      </w:pPr>
      <w:r>
        <w:t xml:space="preserve">Financial Anomaly Detection</w:t>
      </w:r>
    </w:p>
    <w:p>
      <w:pPr>
        <w:spacing w:line="360" w:after="100"/>
        <w:jc w:val="both"/>
      </w:pPr>
      <w:r>
        <w:t xml:space="preserve">E20 Brain continuously analyzes all financial transactions to identify anomalies that might indicate errors, fraud, or unusual but legitimate business activities. The AI model learns normal transaction patterns for each vendor, geographic area, transaction type, and time period. Deviations from learned patterns trigger exception alerts. Machine learning models distinguish between legitimate anomalies (unusual but authorized transactions) and potential fraud indicators.</w:t>
      </w:r>
    </w:p>
    <w:p>
      <w:pPr>
        <w:spacing w:line="360" w:after="100"/>
        <w:jc w:val="both"/>
      </w:pPr>
      <w:r>
        <w:t xml:space="preserve">Donation anomalies are detected by analyzing donor giving patterns. Unusually large donations from first-time donors, unusually small donations from historically large donors, or donations from prohibited sources are flagged. E20 Brain assists compliance teams with rapid identification of potential FEC violations. Duplicate donations from the same source are detected and flagged for investigation.</w:t>
      </w:r>
    </w:p>
    <w:p>
      <w:pPr>
        <w:spacing w:line="360" w:after="100"/>
        <w:jc w:val="both"/>
      </w:pPr>
      <w:r>
        <w:t xml:space="preserve">Vendor payment anomalies are identified through analysis of payment history. Duplicate payments to the same vendor are detected. Payments to new vendors in unusual amounts are flagged. Payments to vendors with potential conflicts of interest are highlighted. The system learns vendor pricing patterns and flags invoices with unusual pricing. Payment terms violations are identified.</w:t>
      </w:r>
    </w:p>
    <w:p>
      <w:pPr>
        <w:spacing w:line="360" w:after="100"/>
        <w:jc w:val="both"/>
      </w:pPr>
      <w:r>
        <w:t xml:space="preserve">Payroll anomalies detect potential errors in compensation. Employee compensation outside expected ranges is flagged. Unusual payroll patterns such as multiple payments to the same employee in one pay period are highlighted. Tax withholding anomalies are detected. The system identifies employees who might be misclassified as independent contractors versus employees.</w:t>
      </w:r>
    </w:p>
    <w:p>
      <w:pPr>
        <w:pStyle w:val="Heading2"/>
        <w:spacing w:before="200" w:after="100"/>
      </w:pPr>
      <w:r>
        <w:t xml:space="preserve">Revenue Forecasting</w:t>
      </w:r>
    </w:p>
    <w:p>
      <w:pPr>
        <w:spacing w:line="360" w:after="100"/>
        <w:jc w:val="both"/>
      </w:pPr>
      <w:r>
        <w:t xml:space="preserve">E20 Brain applies time-series forecasting models to predict future revenue. The AI analyzes historical donation patterns, identifies seasonal peaks and troughs, factors in campaign activity calendars, and models the impact of planned fundraising events and campaigns. Recurring donor patterns are analyzed separately from one-time donations. Donation channel performance is forecasted individually.</w:t>
      </w:r>
    </w:p>
    <w:p>
      <w:pPr>
        <w:spacing w:line="360" w:after="100"/>
        <w:jc w:val="both"/>
      </w:pPr>
      <w:r>
        <w:t xml:space="preserve">Major donor forecasting uses machine learning to predict likelihood and timing of major gift decisions. Donor engagement metrics, wealth indicators, gift history, and communication patterns are analyzed. Predictive models estimate probability of a major gift in the next 30, 60, and 90 days. Confidence levels reflect forecast reliability. Major donor forecasts inform fundraising strategy and resource allocation.</w:t>
      </w:r>
    </w:p>
    <w:p>
      <w:pPr>
        <w:spacing w:line="360" w:after="100"/>
        <w:jc w:val="both"/>
      </w:pPr>
      <w:r>
        <w:t xml:space="preserve">Online fundraising forecasts model the impact of digital campaigns on donation volume. Email campaign performance, social media engagement, website traffic, and conversion rates are analyzed. The AI predicts response rates to different campaign messages based on historical performance. Revenue impact of email campaigns is forecasted before launch. Optimization recommendations improve email effectiveness.</w:t>
      </w:r>
    </w:p>
    <w:p>
      <w:pPr>
        <w:spacing w:line="360" w:after="100"/>
        <w:jc w:val="both"/>
      </w:pPr>
      <w:r>
        <w:t xml:space="preserve">Event revenue forecasting predicts registration and attendance for planned events. Historical event performance, similar events in the region, season factors, and registration pipeline are analyzed. The AI models the impact of event marketing intensity. Revenue forecasts inform event financial planning. Dynamic pricing optimization recommendations maximize event revenue.</w:t>
      </w:r>
    </w:p>
    <w:p>
      <w:pPr>
        <w:pStyle w:val="Heading2"/>
        <w:spacing w:before="200" w:after="100"/>
      </w:pPr>
      <w:r>
        <w:t xml:space="preserve">Expense Optimization</w:t>
      </w:r>
    </w:p>
    <w:p>
      <w:pPr>
        <w:spacing w:line="360" w:after="100"/>
        <w:jc w:val="both"/>
      </w:pPr>
      <w:r>
        <w:t xml:space="preserve">E20 Brain identifies opportunities to reduce campaign expenses while maintaining effectiveness. Vendor pricing analysis compares the campaign's pricing to market rates and benchmarks. The system identifies vendors with above-market pricing and recommends negotiation or replacement. Bulk purchasing opportunities are identified where the campaign can consolidate purchases. Contract terms optimization is recommended.</w:t>
      </w:r>
    </w:p>
    <w:p>
      <w:pPr>
        <w:spacing w:line="360" w:after="100"/>
        <w:jc w:val="both"/>
      </w:pPr>
      <w:r>
        <w:t xml:space="preserve">Payroll expense optimization analyzes compensation levels against market comparables. The system identifies positions that are over-compensated relative to market and over-resourced for actual responsibilities. Staffing level optimization balances budget pressure with campaign operational needs. Automation opportunities are identified where technology can reduce head count. E20 Brain provides data to support difficult reduction decisions.</w:t>
      </w:r>
    </w:p>
    <w:p>
      <w:pPr>
        <w:spacing w:line="360" w:after="100"/>
        <w:jc w:val="both"/>
      </w:pPr>
      <w:r>
        <w:t xml:space="preserve">Technology and software license optimization analyzes tool usage and costs. Unused software licenses are identified for discontinuation. Redundant capabilities across tools are flagged for consolidation. Cost-per-user metrics identify expensive tools that should be reviewed. Open-source alternatives to paid tools are recommended. Technology spend allocation is optimized based on usage patterns.</w:t>
      </w:r>
    </w:p>
    <w:p>
      <w:pPr>
        <w:spacing w:line="360" w:after="100"/>
        <w:jc w:val="both"/>
      </w:pPr>
      <w:r>
        <w:t xml:space="preserve">Media buy optimization recommends adjustments to media spending across channels. Audience reach, cost-per-impression, and attribution data are analyzed. Underperforming channels are identified for budget reduction. High-performing channels are recommended for investment. Media mix optimization balances reach and frequency across channels. The system models the revenue impact of media spend changes.</w:t>
      </w:r>
    </w:p>
    <w:p>
      <w:pPr>
        <w:pStyle w:val="Heading2"/>
        <w:spacing w:before="200" w:after="100"/>
      </w:pPr>
      <w:r>
        <w:t xml:space="preserve">Cross-Ecosystem Financial Impact Analysis</w:t>
      </w:r>
    </w:p>
    <w:p>
      <w:pPr>
        <w:spacing w:line="360" w:after="100"/>
        <w:jc w:val="both"/>
      </w:pPr>
      <w:r>
        <w:t xml:space="preserve">E20 Brain analyzes the financial impact of activities across the campaign ecosystem. Volunteer recruitment drives increase unpaid labor availability, reducing the need for paid staff. This impact is quantified. Event production activities drive both revenue and expenses; net impact is calculated. Voter contact activities increase name recognition, indirectly impacting donation response rates. The AI models these indirect impacts.</w:t>
      </w:r>
    </w:p>
    <w:p>
      <w:pPr>
        <w:spacing w:line="360" w:after="100"/>
        <w:jc w:val="both"/>
      </w:pPr>
      <w:r>
        <w:t xml:space="preserve">Media spending impact on donation volume is modeled through statistical analysis. Multi-touch attribution identifies which media channels drive donations. Incrementality testing estimates the true impact of campaign activities, accounting for donations that would have occurred anyway. The financial return on media spending is calculated. Media budget allocation is optimized based on financial impact.</w:t>
      </w:r>
    </w:p>
    <w:p>
      <w:pPr>
        <w:spacing w:line="360" w:after="100"/>
        <w:jc w:val="both"/>
      </w:pPr>
      <w:r>
        <w:t xml:space="preserve">Volunteer activity impact on financial operations is analyzed. Volunteer hours donated reduce campaign payroll needs. Volunteer fundraising through P2P campaigns generates revenue that would not otherwise be raised. Volunteer retention impacts training and onboarding costs. The AI models the financial value of volunteer engagement.</w:t>
      </w:r>
    </w:p>
    <w:p>
      <w:pPr>
        <w:pStyle w:val="Heading2"/>
        <w:spacing w:before="200" w:after="100"/>
      </w:pPr>
      <w:r>
        <w:t xml:space="preserve">Campaign Financial Health Scoring</w:t>
      </w:r>
    </w:p>
    <w:p>
      <w:pPr>
        <w:spacing w:line="360" w:after="100"/>
        <w:jc w:val="both"/>
      </w:pPr>
      <w:r>
        <w:t xml:space="preserve">E20 Brain develops a composite financial health score based on multiple financial metrics. The score incorporates cash position adequacy, revenue growth trajectory, expense control effectiveness, debt levels, ratio analysis, and FEC compliance status. The score ranges from 0 (critical financial distress) to 100 (excellent financial health). Threshold alerts notify leadership when health score falls below acceptable levels.</w:t>
      </w:r>
    </w:p>
    <w:p>
      <w:pPr>
        <w:spacing w:line="360" w:after="100"/>
        <w:jc w:val="both"/>
      </w:pPr>
      <w:r>
        <w:t xml:space="preserve">Financial health trends are monitored monthly. Improvement or deterioration trends are identified. Leading indicators of future financial problems are surfaced before they become critical. Peer comparison shows how the campaign's financial health compares to similar campaigns. Benchmarks are adjusted for campaign stage and geography. Recommendations to improve financial health are provided.</w:t>
      </w:r>
    </w:p>
    <w:p>
      <w:pPr>
        <w:spacing w:line="360" w:after="100"/>
        <w:jc w:val="both"/>
      </w:pPr>
      <w:r>
        <w:t xml:space="preserve">Risk assessment using E20 Brain identifies financial risks and assigns probability/impact scores. Cash flow risk from revenue shortfalls is quantified. FEC compliance risk from transaction categorization issues is assessed. Vendor concentration risk from over-reliance on single vendors is identified. Risk mitigation strategies are recommended. Risk dashboards provide visibility into key financial risks.</w:t>
      </w:r>
    </w:p>
    <w:p>
      <w:pPr>
        <w:pStyle w:val="Heading1"/>
        <w:pBdr>
          <w:bottom w:val="single" w:color="000000" w:sz="6" w:space="1"/>
        </w:pBdr>
        <w:spacing w:before="400" w:after="200"/>
      </w:pPr>
      <w:r>
        <w:t xml:space="preserve">SECTION 6: INSPINIA MAPPING AND INTERFACE DESIGN</w:t>
      </w:r>
    </w:p>
    <w:p>
      <w:pPr>
        <w:spacing w:line="360" w:after="100"/>
        <w:jc w:val="both"/>
      </w:pPr>
      <w:r>
        <w:t xml:space="preserve">E28 Financial Management implements the Inspinia responsive admin template design system for consistent user interface, interaction patterns, and visual design across all dashboard screens. The Inspinia framework provides a modern, professional appearance that builds confidence in the financial management system while ensuring usability across desktop, tablet, and mobile devices.</w:t>
      </w:r>
    </w:p>
    <w:p>
      <w:pPr>
        <w:pStyle w:val="Heading2"/>
        <w:spacing w:before="200" w:after="100"/>
      </w:pPr>
      <w:r>
        <w:t xml:space="preserve">Visual Design System</w:t>
      </w:r>
    </w:p>
    <w:p>
      <w:pPr>
        <w:spacing w:line="360" w:after="100"/>
        <w:jc w:val="both"/>
      </w:pPr>
      <w:r>
        <w:t xml:space="preserve">The Inspinia color palette uses deep blues, professional grays, and accent colors for financial data visualization. Primary colors represent positive financial metrics (green for revenue, blue for assets). Secondary colors highlight risk areas (red for deficit, orange for warnings). Neutral colors represent neutral data. The dark theme uses dark backgrounds with light text for reduced eye strain during extended use. The light theme uses white backgrounds with dark text for accessibility.</w:t>
      </w:r>
    </w:p>
    <w:p>
      <w:pPr>
        <w:spacing w:line="360" w:after="100"/>
        <w:jc w:val="both"/>
      </w:pPr>
      <w:r>
        <w:t xml:space="preserve">Typography hierarchy distinguishes section headings (larger, bolder) from subsection headings and body text. Numbers and currency values use monospace fonts for alignment. Charts and graphs use Inspinia charting components with consistent styling. Tables use alternating row colors for readability. Icons represent common financial functions: dollar sign for revenue, credit card for payments, chart for reporting, lock for security.</w:t>
      </w:r>
    </w:p>
    <w:p>
      <w:pPr>
        <w:spacing w:line="360" w:after="100"/>
        <w:jc w:val="both"/>
      </w:pPr>
      <w:r>
        <w:t xml:space="preserve">Component library provides consistent styling for buttons, forms, tables, modals, and navigation. Buttons clearly indicate primary actions (filled color) vs. secondary actions (outlined). Form fields provide inline validation feedback. Tables support sorting, filtering, and pagination. Modals use consistent sizing and positioning. Breadcrumb navigation helps users understand page hierarchy.</w:t>
      </w:r>
    </w:p>
    <w:p>
      <w:pPr>
        <w:spacing w:line="360" w:after="100"/>
        <w:jc w:val="both"/>
      </w:pPr>
      <w:r>
        <w:t xml:space="preserve">Spacing and layout follow Inspinia grid system (12-column responsive grid). Margins and padding are consistent throughout. White space is used effectively to reduce cognitive load. Cards organize related information with subtle borders. Sidebar navigation provides access to primary functions. Top navigation bar displays user and system status. Footer displays copyright and support information.</w:t>
      </w:r>
    </w:p>
    <w:p>
      <w:pPr>
        <w:pStyle w:val="Heading2"/>
        <w:spacing w:before="200" w:after="100"/>
      </w:pPr>
      <w:r>
        <w:t xml:space="preserve">Dashboard Layout</w:t>
      </w:r>
    </w:p>
    <w:p>
      <w:pPr>
        <w:spacing w:line="360" w:after="100"/>
        <w:jc w:val="both"/>
      </w:pPr>
      <w:r>
        <w:t xml:space="preserve">The E28 primary dashboard follows Inspinia dashboard patterns with key metrics cards at the top, detailed charts in the middle, and lists/tables at the bottom. Metrics cards display single-number KPIs with trend indicators (up/down arrows) and period comparison (vs. prior month/year). Cards are sized to display 3-4 per row on desktop, 1-2 per row on tablet, and 1 per row on mobile.</w:t>
      </w:r>
    </w:p>
    <w:p>
      <w:pPr>
        <w:spacing w:line="360" w:after="100"/>
        <w:jc w:val="both"/>
      </w:pPr>
      <w:r>
        <w:t xml:space="preserve">Chart area displays revenue and expense trends, budget variance analysis, and cash flow forecasting. Charts use Inspinia charting components (bar charts, line charts, pie charts). Legends identify series. Grid lines assist with value reading. Tooltips display detailed values on hover. Charts update in real-time as data changes. Chart export to image/PDF is supported.</w:t>
      </w:r>
    </w:p>
    <w:p>
      <w:pPr>
        <w:spacing w:line="360" w:after="100"/>
        <w:jc w:val="both"/>
      </w:pPr>
      <w:r>
        <w:t xml:space="preserve">Data tables display transaction-level detail with sorting and filtering. Column headers are clickable to sort ascending/descending. Filter controls enable filtering by date range, category, amount range, and status. Pagination controls navigate through large result sets. Bulk actions (select multiple rows) enable batch operations. Export to CSV is supported.</w:t>
      </w:r>
    </w:p>
    <w:p>
      <w:pPr>
        <w:spacing w:line="360" w:after="100"/>
        <w:jc w:val="both"/>
      </w:pPr>
      <w:r>
        <w:t xml:space="preserve">Sidebar navigation organizes functions into primary categories: General Ledger, Revenue, Payables, Assets, Reconciliation, Reports, and Admin. Collapsible sections allow subcategory navigation. Active section is highlighted. Navigation items include icon and label. Mobile navigation uses hamburger menu. Responsive sidebar collapses on small screens.</w:t>
      </w:r>
    </w:p>
    <w:p>
      <w:pPr>
        <w:pStyle w:val="Heading1"/>
        <w:pBdr>
          <w:bottom w:val="single" w:color="000000" w:sz="6" w:space="1"/>
        </w:pBdr>
        <w:spacing w:before="400" w:after="200"/>
      </w:pPr>
      <w:r>
        <w:t xml:space="preserve">SECTION 7: SEARCH, SORT, SAVE, AND ACTIVATE OPERATIONS</w:t>
      </w:r>
    </w:p>
    <w:p>
      <w:pPr>
        <w:spacing w:line="360" w:after="100"/>
        <w:jc w:val="both"/>
      </w:pPr>
      <w:r>
        <w:t xml:space="preserve">The E28 Financial Management ecosystem provides sophisticated search, sort, save, and activate capabilities to enable users to efficiently manage complex financial operations. These capabilities integrate throughout the system to support rapid access to information, customized views, and batch operations.</w:t>
      </w:r>
    </w:p>
    <w:p>
      <w:pPr>
        <w:pStyle w:val="Heading2"/>
        <w:spacing w:before="200" w:after="100"/>
      </w:pPr>
      <w:r>
        <w:t xml:space="preserve">Advanced Search Functionality</w:t>
      </w:r>
    </w:p>
    <w:p>
      <w:pPr>
        <w:spacing w:line="360" w:after="100"/>
        <w:jc w:val="both"/>
      </w:pPr>
      <w:r>
        <w:t xml:space="preserve">Transaction search enables filtering by date range, account, amount range, description, approver, and status. Full-text search across transaction descriptions and notes. Search results display transactions with drill-down to transaction detail. Saved searches enable users to repeatedly execute complex filters. Search within results further narrows displayed transactions.</w:t>
      </w:r>
    </w:p>
    <w:p>
      <w:pPr>
        <w:spacing w:line="360" w:after="100"/>
        <w:jc w:val="both"/>
      </w:pPr>
      <w:r>
        <w:t xml:space="preserve">Vendor search filters vendor master data by vendor name, category, location, and contact person. Vendor search results display vendor master information and linked transactions. Vendor performance metrics (payment timeliness, invoice accuracy) are displayed in search results. Inactive vendors are excluded from search unless specifically included.</w:t>
      </w:r>
    </w:p>
    <w:p>
      <w:pPr>
        <w:spacing w:line="360" w:after="100"/>
        <w:jc w:val="both"/>
      </w:pPr>
      <w:r>
        <w:t xml:space="preserve">Donor search in linked E02 Donation system filters by donor name, giving amount range, donation date, and giving source. Donor search results show cumulative giving history. Donation pledges and recurring gift status are displayed. Donor contact information is available. Donor wealth indicators inform major gift prospecting.</w:t>
      </w:r>
    </w:p>
    <w:p>
      <w:pPr>
        <w:spacing w:line="360" w:after="100"/>
        <w:jc w:val="both"/>
      </w:pPr>
      <w:r>
        <w:t xml:space="preserve">Report search enables discovery of available reports by title, description, or function. Reports are categorized (Financial Statements, KPI Reports, Compliance Reports, etc.). User can preview report description and parameters before running. Report scheduling enables reports to run automatically. Report search results show last run date and modified date.</w:t>
      </w:r>
    </w:p>
    <w:p>
      <w:pPr>
        <w:pStyle w:val="Heading2"/>
        <w:spacing w:before="200" w:after="100"/>
      </w:pPr>
      <w:r>
        <w:t xml:space="preserve">Sorting Capabilities</w:t>
      </w:r>
    </w:p>
    <w:p>
      <w:pPr>
        <w:spacing w:line="360" w:after="100"/>
        <w:jc w:val="both"/>
      </w:pPr>
      <w:r>
        <w:t xml:space="preserve">Transaction lists support sorting by date (ascending/descending), amount (largest/smallest first), vendor/donor (alphabetical), account (by chart of accounts hierarchy), or approval status. Sorting persists across pagination. Multi-column sorting is supported (sort by date, then by amount within same date). Sort indicators show which column is active sort key.</w:t>
      </w:r>
    </w:p>
    <w:p>
      <w:pPr>
        <w:spacing w:line="360" w:after="100"/>
        <w:jc w:val="both"/>
      </w:pPr>
      <w:r>
        <w:t xml:space="preserve">Financial statement line items sort by account number, account name (alphabetical), or balance amount. This flexibility enables different analytical approaches: account number sorting follows GAAP presentation order, alphabetical sorting aids lookup, amount sorting highlights largest accounts.</w:t>
      </w:r>
    </w:p>
    <w:p>
      <w:pPr>
        <w:spacing w:line="360" w:after="100"/>
        <w:jc w:val="both"/>
      </w:pPr>
      <w:r>
        <w:t xml:space="preserve">KPI dashboard metrics sort by metric name, current period value, or period-over-period change. Users can reorder metric cards on the dashboard. Favorite metrics can be pinned to the top. This customization enables each user to see metrics most relevant to their role.</w:t>
      </w:r>
    </w:p>
    <w:p>
      <w:pPr>
        <w:pStyle w:val="Heading2"/>
        <w:spacing w:before="200" w:after="100"/>
      </w:pPr>
      <w:r>
        <w:t xml:space="preserve">Save Functionality</w:t>
      </w:r>
    </w:p>
    <w:p>
      <w:pPr>
        <w:spacing w:line="360" w:after="100"/>
        <w:jc w:val="both"/>
      </w:pPr>
      <w:r>
        <w:t xml:space="preserve">Dashboard customization enables users to save customized dashboard layouts. Selected metrics, charts, and tables are displayed in user-preferred order. Dashboard themes (dark/light) are saved per user. Saved dashboards can be shared with other users. Multiple dashboard versions can be saved (e.g., daily operations dashboard vs. weekly executive summary dashboard).</w:t>
      </w:r>
    </w:p>
    <w:p>
      <w:pPr>
        <w:spacing w:line="360" w:after="100"/>
        <w:jc w:val="both"/>
      </w:pPr>
      <w:r>
        <w:t xml:space="preserve">Report customization enables users to save report parameter configurations. Recurring reports (daily, weekly, monthly) are scheduled to run automatically and distribute results. Report templates are created for standard reporting needs. Custom reports can be built from available data sources. Saved reports are accessible from the Reports menu.</w:t>
      </w:r>
    </w:p>
    <w:p>
      <w:pPr>
        <w:spacing w:line="360" w:after="100"/>
        <w:jc w:val="both"/>
      </w:pPr>
      <w:r>
        <w:t xml:space="preserve">Filter configurations are saved for frequently-used filtering. Users can name and save transaction filters for quick access. Saved filters appear in a favorites menu. Users can apply multiple saved filters in combination. Filter history shows previously-used filters.</w:t>
      </w:r>
    </w:p>
    <w:p>
      <w:pPr>
        <w:spacing w:line="360" w:after="100"/>
        <w:jc w:val="both"/>
      </w:pPr>
      <w:r>
        <w:t xml:space="preserve">Watch lists enable users to monitor specific accounts, vendors, or donors for activity. Users are notified when activity occurs on watched items. Watch lists support notifications via email or in-app alert. Users can set notification thresholds (e.g., alert if transaction amount exceeds threshold).</w:t>
      </w:r>
    </w:p>
    <w:p>
      <w:pPr>
        <w:pStyle w:val="Heading2"/>
        <w:spacing w:before="200" w:after="100"/>
      </w:pPr>
      <w:r>
        <w:t xml:space="preserve">Activate Operations</w:t>
      </w:r>
    </w:p>
    <w:p>
      <w:pPr>
        <w:spacing w:line="360" w:after="100"/>
        <w:jc w:val="both"/>
      </w:pPr>
      <w:r>
        <w:t xml:space="preserve">Payment activation enables users to execute pending payments. Users review payment details (vendor, amount, account coding), validate approval chain completeness, and activate the payment for processing. Activated payments are transmitted to banks or payment processors. Once activated, payments cannot be recalled without audit trail documentation.</w:t>
      </w:r>
    </w:p>
    <w:p>
      <w:pPr>
        <w:spacing w:line="360" w:after="100"/>
        <w:jc w:val="both"/>
      </w:pPr>
      <w:r>
        <w:t xml:space="preserve">Journal entry posting activation converts approved journal entries from pending status to posted status. Users review entry details, validate double-entry accounting rules (debits equal credits), and activate posting. Posted entries update general ledger balances. Posted entries cannot be modified; correction requires a reversing entry.</w:t>
      </w:r>
    </w:p>
    <w:p>
      <w:pPr>
        <w:spacing w:line="360" w:after="100"/>
        <w:jc w:val="both"/>
      </w:pPr>
      <w:r>
        <w:t xml:space="preserve">Reconciliation completion activation finalizes bank and merchant account reconciliations. Users verify that all transactions are matched or accounted for, approve the reconciliation, and activate completion. Completed reconciliations generate audit trail documentation. Reconciliation discrepancies must be resolved before completion.</w:t>
      </w:r>
    </w:p>
    <w:p>
      <w:pPr>
        <w:spacing w:line="360" w:after="100"/>
        <w:jc w:val="both"/>
      </w:pPr>
      <w:r>
        <w:t xml:space="preserve">Financial statement publication activation makes completed financial statements available to stakeholders. Users validate statement accuracy, approve presentation, and activate publication. Published statements are distributed according to distribution settings. Digital signatures may be applied to electronic statements. Archived copies are retained for audit.</w:t>
      </w:r>
    </w:p>
    <w:p>
      <w:pPr>
        <w:pStyle w:val="Heading1"/>
        <w:pBdr>
          <w:bottom w:val="single" w:color="000000" w:sz="6" w:space="1"/>
        </w:pBdr>
        <w:spacing w:before="400" w:after="200"/>
      </w:pPr>
      <w:r>
        <w:t xml:space="preserve">SECTION 8: CAMPAIGN CHIEF DIALOGS AND FINANCIAL LEADERSHIP</w:t>
      </w:r>
    </w:p>
    <w:p>
      <w:pPr>
        <w:spacing w:line="360" w:after="100"/>
        <w:jc w:val="both"/>
      </w:pPr>
      <w:r>
        <w:t xml:space="preserve">The Campaign Chief dialogs provide critical financial management conversations between campaign finance leadership and E28, enabling rapid decision-making and strategic financial management. These dialogs present complex financial information in actionable formats and facilitate rapid response to changing conditions.</w:t>
      </w:r>
    </w:p>
    <w:p>
      <w:pPr>
        <w:pStyle w:val="Heading2"/>
        <w:spacing w:before="200" w:after="100"/>
      </w:pPr>
      <w:r>
        <w:t xml:space="preserve">Dialog 1: Financial Health Check</w:t>
      </w:r>
    </w:p>
    <w:p>
      <w:pPr>
        <w:spacing w:line="360" w:after="100"/>
        <w:jc w:val="both"/>
      </w:pPr>
      <w:r>
        <w:t xml:space="preserve">The Financial Health Check dialog presents E20 Brain analysis of overall campaign financial condition. The dialog displays the financial health score (0-100), trend (improving/stable/declining), and peer benchmarking (how the campaign compares to similar campaigns). Key metrics include cash position (actual vs. target), revenue trends (vs. goal), expense performance (vs. budget), and covenant compliance (if applicable).</w:t>
      </w:r>
    </w:p>
    <w:p>
      <w:pPr>
        <w:spacing w:line="360" w:after="100"/>
        <w:jc w:val="both"/>
      </w:pPr>
      <w:r>
        <w:t xml:space="preserve">The dialog highlights strengths: "Revenue is tracking 12% above goal due to superior online fundraising performance." and concerns: "Expense trends show 8% overage in media spending; projected year-end budget shortfall of $150K if current trends continue." Recommendations are presented: "Recommend reducing media spending to target levels or increasing fundraising targets." The user can acknowledge the assessment, request detailed analysis, or take immediate action.</w:t>
      </w:r>
    </w:p>
    <w:p>
      <w:pPr>
        <w:spacing w:line="360" w:after="100"/>
        <w:jc w:val="both"/>
      </w:pPr>
      <w:r>
        <w:t xml:space="preserve">The Financial Health Check dialog appears automatically at the start of each week (configurable). The user can dismiss the dialog, review detailed analytics, or initiate a financial strategy session. Regular engagement with the Financial Health Check ensures finance leadership stays aware of financial status and has opportunity to intervene before problems become critical.</w:t>
      </w:r>
    </w:p>
    <w:p>
      <w:pPr>
        <w:spacing w:line="360" w:after="100"/>
        <w:jc w:val="both"/>
      </w:pPr>
      <w:r>
        <w:t xml:space="preserve">E20 Brain learns user preferences from prior interactions. If the user typically focuses on cash position, cash metrics are emphasized. If the user is concerned about FEC compliance, compliance metrics are highlighted. The dialog personalizes over time to the user's priorities and management style.</w:t>
      </w:r>
    </w:p>
    <w:p>
      <w:pPr>
        <w:pStyle w:val="Heading2"/>
        <w:spacing w:before="200" w:after="100"/>
      </w:pPr>
      <w:r>
        <w:t xml:space="preserve">Dialog 2: Cash Flow Alert</w:t>
      </w:r>
    </w:p>
    <w:p>
      <w:pPr>
        <w:spacing w:line="360" w:after="100"/>
        <w:jc w:val="both"/>
      </w:pPr>
      <w:r>
        <w:t xml:space="preserve">The Cash Flow Alert dialog activates when projected cash balance falls below acceptable thresholds. The dialog displays projected cash position for the next 30, 60, and 90 days based on revenue forecasts and expense commitments. If any projection falls below the minimum cash reserve target, the alert escalates urgency.</w:t>
      </w:r>
    </w:p>
    <w:p>
      <w:pPr>
        <w:spacing w:line="360" w:after="100"/>
        <w:jc w:val="both"/>
      </w:pPr>
      <w:r>
        <w:t xml:space="preserve">The dialog presents the severity: "CRITICAL: Projected cash balance reaches zero in 45 days if current spending patterns continue." Current cash position is displayed: "Current cash: $250,000. Minimum acceptable reserve: $100,000." The dialog breaks down near-term cash sources and uses: "Projected revenue next 30 days: $120,000. Projected expenses next 30 days: $180,000. Net deficit: $60,000."</w:t>
      </w:r>
    </w:p>
    <w:p>
      <w:pPr>
        <w:spacing w:line="360" w:after="100"/>
        <w:jc w:val="both"/>
      </w:pPr>
      <w:r>
        <w:t xml:space="preserve">The dialog presents options: "Increase fundraising efforts to accelerate revenue by $75K over next 30 days," "Reduce discretionary spending (media, events) by $60K," "Arrange line of credit for emergency bridge financing," or "Prioritize spending on highest-impact campaign activities." The user selects preferred option or combination. The system models the financial impact of each option.</w:t>
      </w:r>
    </w:p>
    <w:p>
      <w:pPr>
        <w:spacing w:line="360" w:after="100"/>
        <w:jc w:val="both"/>
      </w:pPr>
      <w:r>
        <w:t xml:space="preserve">Once the user selects a response option, the system adjusts forecasts to reflect the new assumptions. Updated cash position projections show whether the selected response adequately addresses the shortfall. If not, the dialog suggests additional measures. The Finance Director can escalate the situation to Campaign Chief for strategic decision-making.</w:t>
      </w:r>
    </w:p>
    <w:p>
      <w:pPr>
        <w:pStyle w:val="Heading2"/>
        <w:spacing w:before="200" w:after="100"/>
      </w:pPr>
      <w:r>
        <w:t xml:space="preserve">Dialog 3: Audit Preparation</w:t>
      </w:r>
    </w:p>
    <w:p>
      <w:pPr>
        <w:spacing w:line="360" w:after="100"/>
        <w:jc w:val="both"/>
      </w:pPr>
      <w:r>
        <w:t xml:space="preserve">The Audit Preparation dialog guides the finance team through preparation for external audit or internal financial review. The dialog presents the audit timeline, key audit areas, and required documentation. A checklist tracks preparation progress.</w:t>
      </w:r>
    </w:p>
    <w:p>
      <w:pPr>
        <w:spacing w:line="360" w:after="100"/>
        <w:jc w:val="both"/>
      </w:pPr>
      <w:r>
        <w:t xml:space="preserve">Key audit areas are highlighted: "General Ledger Review: Verify all accounts reconciled," "Revenue Review: Validate donation recording and revenue recognition," "Payables Review: Confirm vendor invoices processed and approved," "Compliance Review: Ensure FEC requirements met," "Related Party Transactions: Identify and disclose." For each area, the dialog shows preparation status and outstanding items.</w:t>
      </w:r>
    </w:p>
    <w:p>
      <w:pPr>
        <w:spacing w:line="360" w:after="100"/>
        <w:jc w:val="both"/>
      </w:pPr>
      <w:r>
        <w:t xml:space="preserve">Documentation requirements are listed: "General Ledger trial balance," "Bank reconciliations," "Vendor invoice samples," "Revenue recognition policies," "Board minutes approving financial policies." The system can auto-generate many required documents. Users verify completeness and accuracy. Document checklist tracks what has been provided to the auditor.</w:t>
      </w:r>
    </w:p>
    <w:p>
      <w:pPr>
        <w:spacing w:line="360" w:after="100"/>
        <w:jc w:val="both"/>
      </w:pPr>
      <w:r>
        <w:t xml:space="preserve">The dialog tracks audit interaction: "Auditor questions received: 3. Status: 2 answered, 1 pending response." Users can respond to auditor questions within the dialog with supporting documentation. The system maintains audit communication trail. Once all questions are answered and documentation provided, the dialog indicates audit readiness.</w:t>
      </w:r>
    </w:p>
    <w:p>
      <w:pPr>
        <w:pStyle w:val="Heading2"/>
        <w:spacing w:before="200" w:after="100"/>
      </w:pPr>
      <w:r>
        <w:t xml:space="preserve">Dialog 4: Election Day Financial Target</w:t>
      </w:r>
    </w:p>
    <w:p>
      <w:pPr>
        <w:spacing w:line="360" w:after="100"/>
        <w:jc w:val="both"/>
      </w:pPr>
      <w:r>
        <w:t xml:space="preserve">The Election Day Financial Target dialog sets and tracks financial goals for the campaign ending on election day. The dialog displays target ending cash position (often zero for campaigns intending to spend all available funds), planned post-election activities and associated spending, and debt management targets.</w:t>
      </w:r>
    </w:p>
    <w:p>
      <w:pPr>
        <w:spacing w:line="360" w:after="100"/>
        <w:jc w:val="both"/>
      </w:pPr>
      <w:r>
        <w:t xml:space="preserve">Current trajectory is displayed: "Current projection: Campaign ends with $50,000 surplus. Target: Campaign ends with $5,000 cash (spend down to near-zero). Action required: Allocate additional $45,000 spending in final weeks." The dialog breaks down projected spending by category for the final campaign weeks.</w:t>
      </w:r>
    </w:p>
    <w:p>
      <w:pPr>
        <w:spacing w:line="360" w:after="100"/>
        <w:jc w:val="both"/>
      </w:pPr>
      <w:r>
        <w:t xml:space="preserve">The dialog tracks spending pace: "5 weeks to election. Target weekly spending rate: $9,000. Actual weekly spending (recent): $8,500. Status: On track." If spending falls behind target, the dialog recommends acceleration: "Recommend increasing media buys by 10% to accelerate spending pace." Users can approve recommendations or manually adjust spending plans.</w:t>
      </w:r>
    </w:p>
    <w:p>
      <w:pPr>
        <w:spacing w:line="360" w:after="100"/>
        <w:jc w:val="both"/>
      </w:pPr>
      <w:r>
        <w:t xml:space="preserve">Post-election financial obligations are tracked: "Staff severance commitments: $30,000. Vendor contracts ending post-election: $15,000. Expected remaining payables: $5,000. Total planned post-election outlay: $50,000." The dialog ensures adequate cash is reserved for post-election obligations. The user can adjust post-election spending plans to balance spending down all available funds while meeting obligations.</w:t>
      </w:r>
    </w:p>
    <w:p>
      <w:r>
        <w:t xml:space="preserve"/>
      </w:r>
    </w:p>
    <w:p>
      <w:pPr>
        <w:spacing w:line="360" w:after="100"/>
        <w:jc w:val="both"/>
      </w:pPr>
      <w:r>
        <w:t xml:space="preserve">CONCLUSION: The E28 Financial Management ecosystem represents a comprehensive, NetSuite-inspired financial operating system for campaign organizations. Through integrated modules spanning general ledger, revenue recognition, payables, assets, and reconciliation, coupled with sophisticated analytics via E20 Brain integration, E28 provides campaign finance directors with the tools and insights necessary to manage complex financial operations with confidence. The system enables rapid decision-making through financial health dashboards, facilitates compliance with audit trails and FEC reporting, and supports strategic financial management through forecasting and optimization. By integrating with related campaign ecosystems (E02 Donation, E07 Events, E10 Compliance, E11 Budget), E28 enables comprehensive campaign financial management from fundraising through election day spending and post-election closure.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2026-02-17T05:28:07.781Z</dcterms:created>
  <dcterms:modified xsi:type="dcterms:W3CDTF">2026-02-17T05:28:07.781Z</dcterms:modified>
</cp:coreProperties>
</file>

<file path=docProps/custom.xml><?xml version="1.0" encoding="utf-8"?>
<Properties xmlns="http://schemas.openxmlformats.org/officeDocument/2006/custom-properties" xmlns:vt="http://schemas.openxmlformats.org/officeDocument/2006/docPropsVTypes"/>
</file>