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E53 DOCUMENT GENERATION ECOSYSTEM</w:t>
      </w:r>
    </w:p>
    <w:p>
      <w:pPr>
        <w:pStyle w:val="Heading2"/>
        <w:spacing w:after="100"/>
        <w:jc w:val="center"/>
      </w:pPr>
      <w:r>
        <w:t xml:space="preserve">Ecosystem Report - PandaDoc Clone Architecture</w:t>
      </w:r>
    </w:p>
    <w:p>
      <w:pPr>
        <w:spacing w:after="400"/>
        <w:jc w:val="center"/>
      </w:pPr>
      <w:r>
        <w:t xml:space="preserve">BroyhillGOP Campaign Management System</w:t>
      </w:r>
    </w:p>
    <w:p>
      <w:pPr>
        <w:spacing w:after="600"/>
        <w:jc w:val="center"/>
      </w:pPr>
      <w:r>
        <w:t xml:space="preserve">Date: February 17, 2026</w:t>
      </w:r>
    </w:p>
    <w:p>
      <w:pPr>
        <w:pStyle w:val="Heading1"/>
        <w:spacing w:before="400" w:after="200"/>
      </w:pPr>
      <w:r>
        <w:t xml:space="preserve">SECTION 1: APP CLONE AUDIT - PANDADOC</w:t>
      </w:r>
    </w:p>
    <w:p>
      <w:pPr>
        <w:pStyle w:val="Heading2"/>
        <w:spacing w:before="200" w:after="100"/>
      </w:pPr>
      <w:r>
        <w:t xml:space="preserve">Overview and Strategic Assessment</w:t>
      </w:r>
    </w:p>
    <w:p>
      <w:pPr>
        <w:spacing w:after="100"/>
      </w:pPr>
      <w:r>
        <w:t xml:space="preserve">The E53 Document Generation ecosystem represents a comprehensive clone of PandaDoc's core functionality, adapted specifically for political campaign management within the BroyhillGOP platform. This section provides a detailed audit of the PandaDoc feature set and maps each capability to corresponding applications within the campaign management workflow. The architecture leverages modern document generation technologies to create a seamless integration point between campaign management operations and document lifecycle management.</w:t>
      </w:r>
    </w:p>
    <w:p>
      <w:pPr>
        <w:spacing w:after="100"/>
      </w:pPr>
      <w:r>
        <w:t xml:space="preserve">PandaDoc is a leading document automation and e-signature platform that has revolutionized how organizations create, manage, and execute documents at scale. Its core strength lies in the ability to combine document templates, merge field automation, electronic signatures, and comprehensive tracking analytics into a unified platform. By cloning PandaDoc's architecture for BroyhillGOP, we enable campaign managers to automate repetitive document workflows while maintaining compliance with campaign finance regulations and organizational best practices.</w:t>
      </w:r>
    </w:p>
    <w:p>
      <w:pPr>
        <w:spacing w:after="100"/>
      </w:pPr>
      <w:r>
        <w:t xml:space="preserve">The decision to clone PandaDoc rather than build from scratch stems from several strategic considerations. First, PandaDoc's feature set has been battle-tested across thousands of enterprise organizations, demonstrating proven patterns for document automation. Second, the platform's approach to conditional content, version control, and audit trails aligns perfectly with the compliance requirements of political campaigns. Third, PandaDoc's API-first architecture provides a foundation for deep integration with other BroyhillGOP systems.</w:t>
      </w:r>
    </w:p>
    <w:p>
      <w:pPr>
        <w:pStyle w:val="Heading3"/>
        <w:spacing w:before="200" w:after="100"/>
      </w:pPr>
      <w:r>
        <w:t xml:space="preserve">Core PandaDoc Features Analysis</w:t>
      </w:r>
    </w:p>
    <w:p>
      <w:pPr>
        <w:spacing w:after="100"/>
      </w:pPr>
      <w:r>
        <w:t xml:space="preserve">Document templates form the foundation of PandaDoc's platform. These reusable templates reduce document creation time from hours to minutes and eliminate errors in standard agreements. Templates in PandaDoc can be created from scratch or imported from existing documents, with visual drag-and-drop interface allowing non-technical users to customize layouts. The template system supports multiple document types including PDF, Word, and HTML formats, ensuring compatibility across different organizational contexts.</w:t>
      </w:r>
    </w:p>
    <w:p>
      <w:pPr>
        <w:spacing w:after="100"/>
      </w:pPr>
      <w:r>
        <w:t xml:space="preserve">The drag-drop editor represents one of PandaDoc's most powerful features, enabling users without technical expertise to build sophisticated documents. The editor provides a WYSIWYG (What You See Is What You Get) interface where users can drag content blocks, adjust spacing, modify colors, and preview documents in real-time. This democratization of document creation ensures that even junior campaign staff can generate professional, branded documents without requiring design expertise or developer intervention.</w:t>
      </w:r>
    </w:p>
    <w:p>
      <w:pPr>
        <w:spacing w:after="100"/>
      </w:pPr>
      <w:r>
        <w:t xml:space="preserve">Content library functionality allows organizations to maintain centralized repositories of approved content blocks, images, clauses, and text snippets. Rather than composing document content from scratch, users can select from pre-approved library items, ensuring consistency in messaging, legal compliance, and brand voice. For campaigns, this is critical for maintaining message consistency across all campaign communications and ensuring that legal requirements are properly reflected in all documents.</w:t>
      </w:r>
    </w:p>
    <w:p>
      <w:pPr>
        <w:spacing w:after="100"/>
      </w:pPr>
      <w:r>
        <w:t xml:space="preserve">Electronic signature capabilities built into PandaDoc eliminate the need for external e-signature services. Recipients can sign documents directly through the platform with legally binding digital signatures that comply with eSignature regulations across multiple jurisdictions. The signature interface guides users through the signing process, collects required credentials, and timestamps each signature event, creating an irrefutable audit trail.</w:t>
      </w:r>
    </w:p>
    <w:p>
      <w:pPr>
        <w:spacing w:after="100"/>
      </w:pPr>
      <w:r>
        <w:t xml:space="preserve">Document tracking provides real-time visibility into document status and recipient interactions. When a document is sent, the sender receives notifications when the recipient opens the document, views specific pages, spends time on particular sections, and completes signing. This granular tracking reveals which documents receive adequate recipient attention and which may require follow-up communications. For campaign finance tracking, this visibility is invaluable.</w:t>
      </w:r>
    </w:p>
    <w:p>
      <w:pPr>
        <w:spacing w:after="100"/>
      </w:pPr>
      <w:r>
        <w:t xml:space="preserve">Approval workflows enable multi-stage review and sign-off processes. Documents can be routed through customizable approval chains where designated reviewers must approve documents before they proceed to the next stage. This workflow capability ensures that complex documents pass through appropriate governance checkpoints before becoming final. Campaign compliance documents benefit significantly from multi-stage approval workflows that ensure legal review, finance review, and executive approval.</w:t>
      </w:r>
    </w:p>
    <w:p>
      <w:pPr>
        <w:spacing w:after="100"/>
      </w:pPr>
      <w:r>
        <w:t xml:space="preserve">Payment collection features integrated into PandaDoc allow organizations to request and receive payments directly through the document interface. When a document includes a payment field, recipients can pay directly without leaving the document. This is particularly valuable for campaigns collecting donation pledges or event sponsorship fees, enabling a seamless path from agreement to payment collection.</w:t>
      </w:r>
    </w:p>
    <w:p>
      <w:pPr>
        <w:spacing w:after="100"/>
      </w:pPr>
      <w:r>
        <w:t xml:space="preserve">CRM integration capabilities enable PandaDoc to synchronize with external CRM systems like Salesforce, HubSpot, and Pipedrive. This integration flows both directions: CRM data populates document merge fields, and document execution data flows back to the CRM to update customer records. For campaigns, this integration with donor management systems ensures that all pledge documents update corresponding donor records automatically.</w:t>
      </w:r>
    </w:p>
    <w:p>
      <w:pPr>
        <w:spacing w:after="100"/>
      </w:pPr>
      <w:r>
        <w:t xml:space="preserve">Document analytics provide comprehensive reporting on document creation, sending, signing, and execution patterns. Administrators can analyze metrics including template usage rates, average document turnaround times, signer completion rates, and document failure reasons. These analytics drive continuous improvement by revealing which templates are most effective and which processes require optimization.</w:t>
      </w:r>
    </w:p>
    <w:p>
      <w:pPr>
        <w:spacing w:after="100"/>
      </w:pPr>
      <w:r>
        <w:t xml:space="preserve">Custom branding allows organizations to apply consistent visual branding across all documents, emails, and signing interfaces. Colors, logos, fonts, and messaging can be customized to match organizational brand guidelines, ensuring that every document recipient encounters consistent brand presentation. This is critical for campaigns to maintain visual consistency across all campaign communications.</w:t>
      </w:r>
    </w:p>
    <w:p>
      <w:pPr>
        <w:spacing w:after="100"/>
      </w:pPr>
      <w:r>
        <w:t xml:space="preserve">Merge fields and variable functionality enable dynamic content insertion. Documents can reference recipient data, organization data, or transaction data through merge fields that automatically populate with appropriate values. A vendor agreement template might include merge fields for vendor name, campaign ID, contract value, and party affiliation, with each instance automatically populated from campaign data.</w:t>
      </w:r>
    </w:p>
    <w:p>
      <w:pPr>
        <w:spacing w:after="100"/>
      </w:pPr>
      <w:r>
        <w:t xml:space="preserve">Conditional content features allow document sections to appear or disappear based on specific conditions. A vendor contract might conditionally display payment terms only if the vendor agreement includes service fees, or display liability clauses only for high-value contracts. This eliminates the need for multiple template variations and ensures appropriate content appears for each document context.</w:t>
      </w:r>
    </w:p>
    <w:p>
      <w:pPr>
        <w:spacing w:after="100"/>
      </w:pPr>
      <w:r>
        <w:t xml:space="preserve">Document rooms provide secure collaboration spaces where teams can upload, review, comment on, and finalize documents before sending to external recipients. These rooms maintain version history, prevent accidental overwrites, and enable threaded discussions about specific document sections. For campaigns managing compliance documents with legal teams, document rooms are invaluable for collaborative review.</w:t>
      </w:r>
    </w:p>
    <w:p>
      <w:pPr>
        <w:spacing w:after="100"/>
      </w:pPr>
      <w:r>
        <w:t xml:space="preserve">Bulk send functionality allows organizations to send the same document template to hundreds or thousands of recipients simultaneously, with each document personalized based on recipient data. A campaign might use bulk send to personalize thank-you letters for all donors above a certain threshold, with each letter customized with the donor's name, contribution amount, and specific campaign acknowledgment.</w:t>
      </w:r>
    </w:p>
    <w:p>
      <w:pPr>
        <w:spacing w:after="100"/>
      </w:pPr>
      <w:r>
        <w:t xml:space="preserve">Template locking prevents unauthorized modifications to approved templates by restricting which document sections can be edited by different user roles. Campaign finance documents might be locked so that only finance administrators can modify terms, while campaign managers can only customize beneficiary information. This ensures compliance requirements cannot be inadvertently modified by unauthorized personnel.</w:t>
      </w:r>
    </w:p>
    <w:p>
      <w:pPr>
        <w:spacing w:after="100"/>
      </w:pPr>
      <w:r>
        <w:t xml:space="preserve">Version control functionality maintains a complete history of all template modifications, with the ability to revert to previous versions if needed. Every change to a template is tracked with timestamp, author, and description, creating an audit trail for template evolution. This is essential for campaigns documenting how compliance documents evolved during the campaign cycle.</w:t>
      </w:r>
    </w:p>
    <w:p>
      <w:pPr>
        <w:spacing w:after="100"/>
      </w:pPr>
      <w:r>
        <w:t xml:space="preserve">Audit trail features create comprehensive records of all document actions including creation, modification, sending, opening, signing, and execution. Every action is timestamped, attributed to a specific user, and recorded in an immutable log. These audit trails provide the evidence necessary to demonstrate compliance with campaign finance regulations and respond to regulatory inquiries.</w:t>
      </w:r>
    </w:p>
    <w:p>
      <w:pPr>
        <w:spacing w:after="100"/>
      </w:pPr>
      <w:r>
        <w:t xml:space="preserve">Team collaboration features enable multiple team members to work on documents simultaneously, with real-time updates visible to all collaborators. Team members can comment on documents, suggest edits, and track who made which modifications. For campaigns with distributed teams, this collaboration capability ensures everyone stays synchronized on document status and content.</w:t>
      </w:r>
    </w:p>
    <w:p>
      <w:pPr>
        <w:spacing w:after="100"/>
      </w:pPr>
      <w:r>
        <w:t xml:space="preserve">Mobile signing capabilities allow recipients to sign documents through mobile devices with the same legal validity as desktop signatures. The mobile interface optimizes document viewing and signature capture for smaller screens, and mobile signing accounts for the reality that many voters and donors interact with campaigns primarily through mobile devices.</w:t>
      </w:r>
    </w:p>
    <w:p>
      <w:pPr>
        <w:spacing w:after="100"/>
      </w:pPr>
      <w:r>
        <w:t xml:space="preserve">API access enables developers to programmatically interact with PandaDoc, automating document creation, sending, signing, and tracking through third-party applications. Campaigns can build custom tools that leverage PandaDoc's document engine without requiring users to interact with the PandaDoc interface directly. This enables deep integration of document workflows into campaign systems.</w:t>
      </w:r>
    </w:p>
    <w:p>
      <w:pPr>
        <w:pStyle w:val="Heading3"/>
        <w:spacing w:before="200" w:after="100"/>
      </w:pPr>
      <w:r>
        <w:t xml:space="preserve">BroyhillGOP Document Use Cases</w:t>
      </w:r>
    </w:p>
    <w:p>
      <w:pPr>
        <w:spacing w:after="100"/>
      </w:pPr>
      <w:r>
        <w:t xml:space="preserve">Campaign Contracts represent a critical document type for campaigns managing vendor relationships. These agreements establish terms of service, compensation, deliverables, and performance expectations for vendors providing campaign services. Examples include contracts with media buyers, polling firms, voter outreach vendors, and fundraising consultants. Using E53's template system, campaigns can maintain standard contract templates that ensure consistency in legal terms while allowing customization for specific vendors.</w:t>
      </w:r>
    </w:p>
    <w:p>
      <w:pPr>
        <w:spacing w:after="100"/>
      </w:pPr>
      <w:r>
        <w:t xml:space="preserve">Volunteer Agreements outline the expectations and responsibilities for individuals volunteering for campaign activities. These agreements clarify that volunteers are not employees, establish liability limits, confirm volunteer availability, and communicate campaign communication policies. By collecting electronic signatures on volunteer agreements, campaigns maintain documented consent for all campaign activities and liability protection.</w:t>
      </w:r>
    </w:p>
    <w:p>
      <w:pPr>
        <w:spacing w:after="100"/>
      </w:pPr>
      <w:r>
        <w:t xml:space="preserve">Donor Pledge Forms collect binding commitments from major donors to contribute specified amounts to the campaign. These forms establish donor intent, document pledge amounts, confirm payment terms, and provide pledging donors recognition options. Electronic signature on pledge forms creates enforceable donor commitments and documentation of campaign fundraising activity.</w:t>
      </w:r>
    </w:p>
    <w:p>
      <w:pPr>
        <w:spacing w:after="100"/>
      </w:pPr>
      <w:r>
        <w:t xml:space="preserve">Event Sponsorship Agreements formalize sponsorship relationships, establishing sponsor benefits, promotional commitments, and payment terms. Events are critical campaign fundraising mechanisms, and sponsorship agreements ensure that sponsors understand what they're purchasing and that campaigns deliver promised sponsorship benefits.</w:t>
      </w:r>
    </w:p>
    <w:p>
      <w:pPr>
        <w:spacing w:after="100"/>
      </w:pPr>
      <w:r>
        <w:t xml:space="preserve">Endorsement Letters document endorsements from notable individuals, organizations, or groups supporting the campaign. These letters provide campaign legitimacy and are valuable for external communications and fundraising. E53 can template endorsement letters to ensure consistent format and messaging while allowing customization for specific endorsers.</w:t>
      </w:r>
    </w:p>
    <w:p>
      <w:pPr>
        <w:spacing w:after="100"/>
      </w:pPr>
      <w:r>
        <w:t xml:space="preserve">FEC Filing Documents represent the formal documentation required by the Federal Election Commission to establish compliance with campaign finance regulations. These documents establish the campaign's existence, designate official campaign committees, and affirm compliance with FEC regulations. While many FEC filings are completed electronically through the FEC's own systems, E53 can manage supporting documentation.</w:t>
      </w:r>
    </w:p>
    <w:p>
      <w:pPr>
        <w:spacing w:after="100"/>
      </w:pPr>
      <w:r>
        <w:t xml:space="preserve">Campaign Finance Reports compile fundraising and spending data into required formats for regulatory filing. While the FEC provides standardized reporting formats, campaigns benefit from internal reporting capabilities that provide visibility into financial activity before official filings. E53 can generate these reports with automatic data population from campaign finance systems.</w:t>
      </w:r>
    </w:p>
    <w:p>
      <w:pPr>
        <w:spacing w:after="100"/>
      </w:pPr>
      <w:r>
        <w:t xml:space="preserve">Thank-You Letters personalize campaign appreciation to donors, volunteers, and supporters. Using merge fields to automatically populate donor names, contribution amounts, and specific contribution purposes, campaigns can generate hundreds of personalized thank-you letters from a single template. This demonstrates that campaigns value individual supporter contributions and builds relationship depth.</w:t>
      </w:r>
    </w:p>
    <w:p>
      <w:pPr>
        <w:spacing w:after="100"/>
      </w:pPr>
      <w:r>
        <w:t xml:space="preserve">Personalized Fundraising Letters target specific donor segments with customized messages emphasizing aspects of the campaign most relevant to each donor segment. Merge fields can personalize messages based on prior donations, interest areas, or geographic location. A major donor interested in environmental policy receives a letter emphasizing environmental commitments, while a healthcare-focused donor receives a letter emphasizing healthcare policy.</w:t>
      </w:r>
    </w:p>
    <w:p>
      <w:pPr>
        <w:spacing w:after="100"/>
      </w:pPr>
      <w:r>
        <w:t xml:space="preserve">Policy Position Papers articulate the campaign's policy positions on specific issues. Using E53's content library and document templates, campaigns can maintain consistent policy positions across multiple documents while allowing customization for specific contexts. Policy position papers can be distributed to voters, media, and supporters as campaign communication.</w:t>
      </w:r>
    </w:p>
    <w:p>
      <w:pPr>
        <w:spacing w:after="100"/>
      </w:pPr>
      <w:r>
        <w:t xml:space="preserve">Press Releases communicate campaign news to media outlets and the public. Using templates and content libraries, campaigns can generate press releases quickly while maintaining consistent formatting and messaging. Press releases often reference the candidate or campaign details that can be populated through merge fields.</w:t>
      </w:r>
    </w:p>
    <w:p>
      <w:pPr>
        <w:spacing w:after="100"/>
      </w:pPr>
      <w:r>
        <w:t xml:space="preserve">Campaign Plans document the overall campaign strategy, including goals, target voters, messaging themes, and resource allocation. While campaign plans are strategic documents requiring manual composition, E53 can template the document structure and formatting, ensuring consistent presentation.</w:t>
      </w:r>
    </w:p>
    <w:p>
      <w:pPr>
        <w:spacing w:after="100"/>
      </w:pPr>
      <w:r>
        <w:t xml:space="preserve">Budget Documents detail campaign financial planning, including revenue projections, expense categories, and spending limits. Using E53's dynamic content features, budget documents can conditionally display different budget categories based on campaign type or projected budget size.</w:t>
      </w:r>
    </w:p>
    <w:p>
      <w:pPr>
        <w:spacing w:after="100"/>
      </w:pPr>
      <w:r>
        <w:t xml:space="preserve">Vendor RFPs (Requests for Proposal) solicit bids from potential vendors for campaign services. Using E53's template system, campaigns can quickly generate RFPs for different service categories with consistent evaluation criteria and response requirements. The RFP template can be customized for each vendor category while maintaining consistent overall structure.</w:t>
      </w:r>
    </w:p>
    <w:p>
      <w:pPr>
        <w:spacing w:after="100"/>
      </w:pPr>
      <w:r>
        <w:t xml:space="preserve">Compliance Documents encompass the various regulatory filings, declarations, and certifications required for campaign operation. These documents often require careful legal review to ensure accuracy and completeness. E53's approval workflow functionality ensures these critical documents pass through appropriate legal and finance review before becoming final.</w:t>
      </w:r>
    </w:p>
    <w:p>
      <w:pPr>
        <w:pStyle w:val="Heading1"/>
        <w:spacing w:before="400" w:after="200"/>
      </w:pPr>
      <w:r>
        <w:t xml:space="preserve">SECTION 2: USER JOURNEY - CAMPAIGN MANAGER WORKFLOW</w:t>
      </w:r>
    </w:p>
    <w:p>
      <w:pPr>
        <w:pStyle w:val="Heading2"/>
        <w:spacing w:before="200" w:after="100"/>
      </w:pPr>
      <w:r>
        <w:t xml:space="preserve">Campaign Manager Initiates Contract Generation</w:t>
      </w:r>
    </w:p>
    <w:p>
      <w:pPr>
        <w:spacing w:after="100"/>
      </w:pPr>
      <w:r>
        <w:t xml:space="preserve">The campaign manager opening the E53 Document Generation system interfaces with an intuitive dashboard that immediately presents commonly-needed document types. The manager is responsible for finalizing vendor contracts for a new media buyer and navigates to the "Document Creator" interface. This interface provides two options: create from template or upload an existing document. The manager selects "Create from Template" and chooses the "Vendor Contract Template" from the available options.</w:t>
      </w:r>
    </w:p>
    <w:p>
      <w:pPr>
        <w:spacing w:after="100"/>
      </w:pPr>
      <w:r>
        <w:t xml:space="preserve">Upon template selection, the system presents the template structure with identified merge fields highlighted. The vendor contract template includes merge fields for vendor name, service description, contract value, payment terms, campaign ID, and authorized signer. The manager observes that most of these fields will automatically populate from campaign systems. The manager manually enters the vendor name "MediaBuy360" and service description "Media placement across digital platforms for targeted voter outreach."</w:t>
      </w:r>
    </w:p>
    <w:p>
      <w:pPr>
        <w:spacing w:after="100"/>
      </w:pPr>
      <w:r>
        <w:t xml:space="preserve">As the manager fills in the vendor details, the document preview updates in real-time, showing exactly how the final document will appear. The manager notes that several fields including contract value are not manually entered but will draw from campaign records. The system identifies that campaign financial records include a contract value of $125,000 for this vendor and automatically populates this value. The authorized signer field displays the campaign manager's name as identified from the system profile.</w:t>
      </w:r>
    </w:p>
    <w:p>
      <w:pPr>
        <w:pStyle w:val="Heading2"/>
        <w:spacing w:before="200" w:after="100"/>
      </w:pPr>
      <w:r>
        <w:t xml:space="preserve">System Auto-Populates Campaign Details</w:t>
      </w:r>
    </w:p>
    <w:p>
      <w:pPr>
        <w:spacing w:after="100"/>
      </w:pPr>
      <w:r>
        <w:t xml:space="preserve">The E53 system leverages integration with the BroyhillGOP campaign database to automatically populate standard campaign details without requiring manual entry. Campaign identifier, campaign name, campaign finance committee name, authorized spending limits, and campaign address information all auto-populate from campaign records. This eliminates manual data entry, reduces errors, and ensures all documents reflect current campaign information.</w:t>
      </w:r>
    </w:p>
    <w:p>
      <w:pPr>
        <w:spacing w:after="100"/>
      </w:pPr>
      <w:r>
        <w:t xml:space="preserve">For the vendor contract specifically, the system connects to the campaign financial records to retrieve the contract value authorized for this vendor. The campaign manager had previously established in the campaign financial system that MediaBuy360 would receive $125,000 for media services. The E53 system retrieves this value and automatically inserts it into the contract, ensuring the contract value matches the financial planning without requiring duplicate entry.</w:t>
      </w:r>
    </w:p>
    <w:p>
      <w:pPr>
        <w:spacing w:after="100"/>
      </w:pPr>
      <w:r>
        <w:t xml:space="preserve">The campaign address, committee name, and campaign identifier all populate from the campaign profile. The authorized signer information is drawn from the campaign team member database, identifying the appropriate campaign manager or finance director authorized to execute the contract. This multi-level auto-population transforms what would be a tedious manual data entry process into an efficient, error-free automated flow.</w:t>
      </w:r>
    </w:p>
    <w:p>
      <w:pPr>
        <w:pStyle w:val="Heading2"/>
        <w:spacing w:before="200" w:after="100"/>
      </w:pPr>
      <w:r>
        <w:t xml:space="preserve">Campaign Manager Sends for Electronic Signature</w:t>
      </w:r>
    </w:p>
    <w:p>
      <w:pPr>
        <w:spacing w:after="100"/>
      </w:pPr>
      <w:r>
        <w:t xml:space="preserve">With the contract document finalized and previewed, the campaign manager clicks the "Send for Signature" button to initiate the electronic signature process. The system prompts the manager to confirm the recipient email address for the vendor representative authorized to execute contracts. The manager enters "contracts@mediabuy360.com" and notes that this email will receive a personalized signature request linking to the contract document.</w:t>
      </w:r>
    </w:p>
    <w:p>
      <w:pPr>
        <w:spacing w:after="100"/>
      </w:pPr>
      <w:r>
        <w:t xml:space="preserve">The campaign manager has the option to include a personalized message in the signature request. The manager types a brief message: "We're excited to move forward with MediaBuy360 for our media buying services. Please review and execute the attached contract to formalize our engagement." This personal touch, combined with the formal contract, helps establish a positive business relationship.</w:t>
      </w:r>
    </w:p>
    <w:p>
      <w:pPr>
        <w:spacing w:after="100"/>
      </w:pPr>
      <w:r>
        <w:t xml:space="preserve">Upon clicking "Send", the E53 system generates a unique signature link and sends an email to the vendor contact with the personalized message and signature request. The email includes a clear call-to-action button directing the recipient to review and sign the contract. The system records the signature request date, recipient email, and pending status in the document tracking system.</w:t>
      </w:r>
    </w:p>
    <w:p>
      <w:pPr>
        <w:pStyle w:val="Heading2"/>
        <w:spacing w:before="200" w:after="100"/>
      </w:pPr>
      <w:r>
        <w:t xml:space="preserve">Real-Time Document Tracking and Status Updates</w:t>
      </w:r>
    </w:p>
    <w:p>
      <w:pPr>
        <w:spacing w:after="100"/>
      </w:pPr>
      <w:r>
        <w:t xml:space="preserve">Once the signature request is sent, the campaign manager can track the document status in the "Signature Center" interface. Real-time tracking reveals that the email was delivered to the vendor contact at 2:47 PM. At 3:15 PM, the vendor opens the email. At 3:22 PM, the vendor clicks the signature link and opens the contract document within the E53 interface.</w:t>
      </w:r>
    </w:p>
    <w:p>
      <w:pPr>
        <w:spacing w:after="100"/>
      </w:pPr>
      <w:r>
        <w:t xml:space="preserve">As the vendor reviews the contract, the campaign manager receives real-time notifications of the vendor's engagement. The vendor spends 4 minutes reviewing the contract, indicating genuine document review rather than a cursory glance. The contract document highlights important sections as the vendor reviews them, with the tracking system recording exactly which sections received the vendor's attention. The vendor spends particularly long reviewing the payment terms section, suggesting this section may have generated questions.</w:t>
      </w:r>
    </w:p>
    <w:p>
      <w:pPr>
        <w:spacing w:after="100"/>
      </w:pPr>
      <w:r>
        <w:t xml:space="preserve">The campaign manager watches as the vendor's signature appears in the designated signature field at 3:27 PM. The system immediately recognizes the signature, verifies its authenticity, and updates the document status to "Signed." The campaign manager receives a notification: "MediaBuy360 contract has been signed by the authorized vendor representative." At this moment, the contract becomes legally binding, and the vendor engagement is officially formalized.</w:t>
      </w:r>
    </w:p>
    <w:p>
      <w:pPr>
        <w:pStyle w:val="Heading2"/>
        <w:spacing w:before="200" w:after="100"/>
      </w:pPr>
      <w:r>
        <w:t xml:space="preserve">Automatic Document Filing and Compliance Logging</w:t>
      </w:r>
    </w:p>
    <w:p>
      <w:pPr>
        <w:spacing w:after="100"/>
      </w:pPr>
      <w:r>
        <w:t xml:space="preserve">Upon signature completion, the E53 system automatically initiates document filing procedures. The signed contract is immediately transmitted to the campaign's document management system and filed in the appropriate compliance folder. All relevant campaign systems are notified that this contract is now executed, triggering downstream workflows in financial management, vendor management, and compliance tracking systems.</w:t>
      </w:r>
    </w:p>
    <w:p>
      <w:pPr>
        <w:spacing w:after="100"/>
      </w:pPr>
      <w:r>
        <w:t xml:space="preserve">The campaign finance system receives notification of the signed contract and records the vendor engagement date and contract value in campaign financial records. The vendor management system updates the vendor record to reflect that this contract is executed and sets the vendor status to "Active." The compliance system logs the contract execution as evidence of proper vendor documentation for FEC compliance.</w:t>
      </w:r>
    </w:p>
    <w:p>
      <w:pPr>
        <w:spacing w:after="100"/>
      </w:pPr>
      <w:r>
        <w:t xml:space="preserve">The campaign manager receives a confirmation that the contract has been successfully filed in campaign records with a link to access the signed document at any time. The document is automatically backed up and can be retrieved for future reference, dispute resolution, or FEC inquiries. A complete audit trail documents when the contract was created, who created it, when it was sent, when the vendor opened it, and when the vendor signed it.</w:t>
      </w:r>
    </w:p>
    <w:p>
      <w:pPr>
        <w:spacing w:after="100"/>
      </w:pPr>
      <w:r>
        <w:t xml:space="preserve">This automated filing ensures that no contract gets overlooked or misfiled, that all stakeholder systems are kept synchronized, and that compliance requirements are consistently met. The entire process, from document creation through filing, requires minimal manual intervention and creates an immutable record of all actions taken.</w:t>
      </w:r>
    </w:p>
    <w:p>
      <w:pPr>
        <w:pStyle w:val="Heading1"/>
        <w:spacing w:before="400" w:after="200"/>
      </w:pPr>
      <w:r>
        <w:t xml:space="preserve">SECTION 3: COMMAND CENTER - DOCUMENT MANAGEMENT HUB</w:t>
      </w:r>
    </w:p>
    <w:p>
      <w:pPr>
        <w:pStyle w:val="Heading2"/>
        <w:spacing w:before="200" w:after="100"/>
      </w:pPr>
      <w:r>
        <w:t xml:space="preserve">Document Creator Interface</w:t>
      </w:r>
    </w:p>
    <w:p>
      <w:pPr>
        <w:spacing w:after="100"/>
      </w:pPr>
      <w:r>
        <w:t xml:space="preserve">The Document Creator represents the primary interface for users initiating document generation workflows. This interface provides immediate access to the full template library, document creation tools, and recently used templates. Users encounter a clean, uncluttered interface that emphasizes efficiency and ease of use. The interface presents quick-action buttons for the five most commonly generated document types, reducing friction for routine document creation.</w:t>
      </w:r>
    </w:p>
    <w:p>
      <w:pPr>
        <w:spacing w:after="100"/>
      </w:pPr>
      <w:r>
        <w:t xml:space="preserve">Users can create documents through multiple pathways. The template library approach allows selection from hundreds of pre-built templates organized by category. Users can browse templates by use case (vendor agreements, volunteer forms, donor pledges), by document type (contracts, letters, forms), or by campaign stage (fundraising, operations, compliance). Each template includes a description, preview image, and usage statistics showing how many times the template has been used.</w:t>
      </w:r>
    </w:p>
    <w:p>
      <w:pPr>
        <w:spacing w:after="100"/>
      </w:pPr>
      <w:r>
        <w:t xml:space="preserve">An alternative creation pathway allows users to upload an existing document and convert it to a template. This is valuable for one-off documents that prove useful and should become standardized templates. Users upload the document, the system analyzes it and suggests which fields should become merge fields, and users can customize the template structure.</w:t>
      </w:r>
    </w:p>
    <w:p>
      <w:pPr>
        <w:spacing w:after="100"/>
      </w:pPr>
      <w:r>
        <w:t xml:space="preserve">The Document Creator guides users through a step-by-step process: select template, populate merge fields, review document preview, add recipients, customize messaging, and send. Each step is clearly presented with helpful guidance and error detection. If required merge fields are not populated, the system alerts the user before document sending.</w:t>
      </w:r>
    </w:p>
    <w:p>
      <w:pPr>
        <w:pStyle w:val="Heading2"/>
        <w:spacing w:before="200" w:after="100"/>
      </w:pPr>
      <w:r>
        <w:t xml:space="preserve">Template Library Management</w:t>
      </w:r>
    </w:p>
    <w:p>
      <w:pPr>
        <w:spacing w:after="100"/>
      </w:pPr>
      <w:r>
        <w:t xml:space="preserve">The Template Library serves as the organizational repository for all approved document templates. The library is organized hierarchically by campaign function and document type. Campaign operations might maintain templates for vendor contracts, independent contractor agreements, and venue rental agreements. Campaign finance might maintain templates for donor pledge forms, sponsor agreements, and fundraising letters. Campaign compliance maintains templates for volunteer agreements, FEC filing documents, and compliance certifications.</w:t>
      </w:r>
    </w:p>
    <w:p>
      <w:pPr>
        <w:spacing w:after="100"/>
      </w:pPr>
      <w:r>
        <w:t xml:space="preserve">Templates in the library are tagged with metadata indicating creation date, last modification date, primary user group, and usage frequency. This metadata enables intelligent template recommendations. When a user is creating a vendor contract, the system might recommend similar templates recently used for vendor agreements, increasing the likelihood that the user finds the most appropriate template.</w:t>
      </w:r>
    </w:p>
    <w:p>
      <w:pPr>
        <w:spacing w:after="100"/>
      </w:pPr>
      <w:r>
        <w:t xml:space="preserve">Template administrators can manage template lifecycle including creating new templates, updating existing templates, retiring obsolete templates, and controlling template visibility. Templates can be designated as public (visible to all users) or restricted (visible only to specific user groups). A legal team might maintain restricted templates for complex compliance documents while making simple thank-you letter templates public to all users.</w:t>
      </w:r>
    </w:p>
    <w:p>
      <w:pPr>
        <w:spacing w:after="100"/>
      </w:pPr>
      <w:r>
        <w:t xml:space="preserve">Template versioning enables templates to evolve over time while maintaining historical versions. When a legal requirement changes and requires updating contract language, administrators can update the template and track it as a new version. Historical versions remain available to explain when and why templates changed, valuable for understanding documents created under previous template versions.</w:t>
      </w:r>
    </w:p>
    <w:p>
      <w:pPr>
        <w:pStyle w:val="Heading2"/>
        <w:spacing w:before="200" w:after="100"/>
      </w:pPr>
      <w:r>
        <w:t xml:space="preserve">Signature Center Operations</w:t>
      </w:r>
    </w:p>
    <w:p>
      <w:pPr>
        <w:spacing w:after="100"/>
      </w:pPr>
      <w:r>
        <w:t xml:space="preserve">The Signature Center provides a unified interface for managing all documents requiring electronic signatures. This includes documents awaiting signature from recipients, documents that have been signed and are awaiting another recipient's signature, and documents that have been fully executed. The interface displays signature request status for all documents, with visual indicators showing which documents are pending, in progress, or complete.</w:t>
      </w:r>
    </w:p>
    <w:p>
      <w:pPr>
        <w:spacing w:after="100"/>
      </w:pPr>
      <w:r>
        <w:t xml:space="preserve">Signature Center users can send signature reminders to recipients who have not yet completed signing. The interface allows bulk reminders across multiple documents, or targeted reminders for specific documents where turnaround time is critical. Reminders can include personalized messages emphasizing the importance of document signing.</w:t>
      </w:r>
    </w:p>
    <w:p>
      <w:pPr>
        <w:spacing w:after="100"/>
      </w:pPr>
      <w:r>
        <w:t xml:space="preserve">The Signature Center displays detailed signature tracking information for each document including date sent, recipient email, date opened, pages reviewed, time spent reviewing, and date signed. This information helps campaign managers understand document engagement and identify potential issues. If a document sent three days ago remains unopened, the manager might follow up with the recipient to ensure delivery of the signature request.</w:t>
      </w:r>
    </w:p>
    <w:p>
      <w:pPr>
        <w:spacing w:after="100"/>
      </w:pPr>
      <w:r>
        <w:t xml:space="preserve">For documents requiring multiple signatures, the Signature Center displays the signature workflow showing which recipients have signed and which remain pending. The interface indicates whether signatures are required sequentially (second signer must wait for first signer to complete) or can occur in parallel (multiple signers can sign simultaneously). This clarity helps managers understand document progress and potential bottlenecks.</w:t>
      </w:r>
    </w:p>
    <w:p>
      <w:pPr>
        <w:pStyle w:val="Heading2"/>
        <w:spacing w:before="200" w:after="100"/>
      </w:pPr>
      <w:r>
        <w:t xml:space="preserve">Document Tracking Analytics</w:t>
      </w:r>
    </w:p>
    <w:p>
      <w:pPr>
        <w:spacing w:after="100"/>
      </w:pPr>
      <w:r>
        <w:t xml:space="preserve">The Document Tracking system provides comprehensive analytics on document lifecycle including creation, sending, recipient engagement, signing, and completion. These analytics enable managers to understand how long documents take to complete, where bottlenecks occur, and which documents require management attention.</w:t>
      </w:r>
    </w:p>
    <w:p>
      <w:pPr>
        <w:spacing w:after="100"/>
      </w:pPr>
      <w:r>
        <w:t xml:space="preserve">Engagement metrics track how recipients interact with documents. The system records when recipients open emails with signature requests, when they click links to view documents, which pages they view, how much time they spend on each page, and where they abandon review. This granular engagement tracking reveals whether recipients are actually reviewing document content or signing without reading.</w:t>
      </w:r>
    </w:p>
    <w:p>
      <w:pPr>
        <w:spacing w:after="100"/>
      </w:pPr>
      <w:r>
        <w:t xml:space="preserve">Completion metrics track how long documents take to be fully executed from creation to final signature. The system calculates average turnaround time across all documents, enabling identification of documents that take longer than expected. A vendor contract that typically takes 2 days to execute but takes 10 days for a particular vendor might indicate that the vendor had questions or encountered challenges.</w:t>
      </w:r>
    </w:p>
    <w:p>
      <w:pPr>
        <w:spacing w:after="100"/>
      </w:pPr>
      <w:r>
        <w:t xml:space="preserve">Trending analytics reveal patterns over time. Is document turnaround time improving or degrading? Are certain document types consistently taking longer than others? Are certain users generating documents more efficiently than others? These trends help identify process improvements and training needs.</w:t>
      </w:r>
    </w:p>
    <w:p>
      <w:pPr>
        <w:pStyle w:val="Heading2"/>
        <w:spacing w:before="200" w:after="100"/>
      </w:pPr>
      <w:r>
        <w:t xml:space="preserve">Content Library Management</w:t>
      </w:r>
    </w:p>
    <w:p>
      <w:pPr>
        <w:spacing w:after="100"/>
      </w:pPr>
      <w:r>
        <w:t xml:space="preserve">The Content Library stores approved content blocks that can be reused across multiple documents. Rather than different campaign staff writing similar content independently, the content library provides pre-approved, legally reviewed, and message-consistent content blocks that any user can incorporate into documents.</w:t>
      </w:r>
    </w:p>
    <w:p>
      <w:pPr>
        <w:spacing w:after="100"/>
      </w:pPr>
      <w:r>
        <w:t xml:space="preserve">Common content library entries include standard legal clauses (liability, limitation of liability, indemnification), compliance statements (FEC compliance acknowledgments, campaign finance disclosures), and message content (campaign mission statement, candidate biography, policy position statements). These content blocks ensure consistency across all campaign documents and reduce the burden on individual staff members to draft appropriate language.</w:t>
      </w:r>
    </w:p>
    <w:p>
      <w:pPr>
        <w:spacing w:after="100"/>
      </w:pPr>
      <w:r>
        <w:t xml:space="preserve">Content library entries can be organized hierarchically with related content blocks grouped together. Liability clauses might be grouped separately from compliance clauses, with further organization by liability type or compliance requirement. This organization helps users quickly locate appropriate content.</w:t>
      </w:r>
    </w:p>
    <w:p>
      <w:pPr>
        <w:spacing w:after="100"/>
      </w:pPr>
      <w:r>
        <w:t xml:space="preserve">Content library administrators can update approved content when regulations change, campaign policies evolve, or messaging requires refresh. When content is updated, administrators can choose whether to immediately apply the update to all future documents or maintain the previous version for documents already created with the old language.</w:t>
      </w:r>
    </w:p>
    <w:p>
      <w:pPr>
        <w:pStyle w:val="Heading1"/>
        <w:spacing w:before="400" w:after="200"/>
      </w:pPr>
      <w:r>
        <w:t xml:space="preserve">SECTION 4: ADMIN PANEL - GOVERNANCE AND ANALYTICS</w:t>
      </w:r>
    </w:p>
    <w:p>
      <w:pPr>
        <w:pStyle w:val="Heading2"/>
        <w:spacing w:before="200" w:after="100"/>
      </w:pPr>
      <w:r>
        <w:t xml:space="preserve">Documents Created Dashboard</w:t>
      </w:r>
    </w:p>
    <w:p>
      <w:pPr>
        <w:spacing w:after="100"/>
      </w:pPr>
      <w:r>
        <w:t xml:space="preserve">The Documents Created dashboard provides administrators with visibility into document generation activity across the campaign. The dashboard displays total documents created, documents created by day, documents created by user, documents created by template type, and documents created by department. This visibility enables administrators to understand usage patterns and ensure adequate template coverage for campaign needs.</w:t>
      </w:r>
    </w:p>
    <w:p>
      <w:pPr>
        <w:spacing w:after="100"/>
      </w:pPr>
      <w:r>
        <w:t xml:space="preserve">Time series visualizations show document creation activity over time, revealing whether document creation is increasing as the campaign scales up, whether document creation activity concentrates during specific campaign phases, or whether document creation is evenly distributed. Peaks in document creation activity around fundraising events, candidate events, or compliance deadlines indicate when document automation is most valuable.</w:t>
      </w:r>
    </w:p>
    <w:p>
      <w:pPr>
        <w:spacing w:after="100"/>
      </w:pPr>
      <w:r>
        <w:t xml:space="preserve">Document creation by template type reveals which templates are most frequently used. High-usage templates are justified and demonstrating value. Low-usage templates might indicate that users don't understand the template is available, that the template doesn't match actual user needs, or that the template content requires updating to remain relevant. Administrators can interview low-usage template owners to understand why users aren't adopting them.</w:t>
      </w:r>
    </w:p>
    <w:p>
      <w:pPr>
        <w:spacing w:after="100"/>
      </w:pPr>
      <w:r>
        <w:t xml:space="preserve">Document creation by user reveals power users who are efficiently generating documents and users who rarely create documents. Administrators might provide targeted training to non-users to increase document automation adoption, or discover that certain user groups aren't aware that templated document creation is available.</w:t>
      </w:r>
    </w:p>
    <w:p>
      <w:pPr>
        <w:pStyle w:val="Heading2"/>
        <w:spacing w:before="200" w:after="100"/>
      </w:pPr>
      <w:r>
        <w:t xml:space="preserve">Signature Completion Rate Analysis</w:t>
      </w:r>
    </w:p>
    <w:p>
      <w:pPr>
        <w:spacing w:after="100"/>
      </w:pPr>
      <w:r>
        <w:t xml:space="preserve">The Signature Completion Rate dashboard tracks what percentage of documents that are sent for signature ultimately get signed. Healthy signature completion rates indicate that recipients are willing to execute documents and that documents are reaching recipients successfully. Lower signature completion rates might indicate problems with document delivery, document content that recipients object to, or recipients not understanding the importance of document signature.</w:t>
      </w:r>
    </w:p>
    <w:p>
      <w:pPr>
        <w:spacing w:after="100"/>
      </w:pPr>
      <w:r>
        <w:t xml:space="preserve">Signature completion rate is tracked overall and broken down by document type. Vendor contracts might have a 95% signature completion rate because vendors understand that signing the contract is necessary for the business relationship. Volunteer agreements might have a lower completion rate because volunteers don't perceive the documents as important. Analyzing these differences reveals which document types might need process improvements or messaging adjustments to increase signature completion.</w:t>
      </w:r>
    </w:p>
    <w:p>
      <w:pPr>
        <w:spacing w:after="100"/>
      </w:pPr>
      <w:r>
        <w:t xml:space="preserve">Signature completion rate is also tracked by recipient, revealing which specific recipients consistently complete signature and which recipients frequently abandon the signing process. If a particular vendor consistently doesn't sign documents, this might indicate a relationship issue or misalignment that requires direct conversation.</w:t>
      </w:r>
    </w:p>
    <w:p>
      <w:pPr>
        <w:spacing w:after="100"/>
      </w:pPr>
      <w:r>
        <w:t xml:space="preserve">Trend analysis on signature completion rates reveals whether the campaign is improving or degrading at getting recipients to sign documents. Improving completion rates suggest that process improvements, messaging adjustments, or staff training are successfully increasing document execution. Declining completion rates might indicate that documents are becoming more complex, that recipient sentiment toward the campaign is changing, or that document delivery systems are experiencing problems.</w:t>
      </w:r>
    </w:p>
    <w:p>
      <w:pPr>
        <w:pStyle w:val="Heading2"/>
        <w:spacing w:before="200" w:after="100"/>
      </w:pPr>
      <w:r>
        <w:t xml:space="preserve">Average Turnaround Time Metrics</w:t>
      </w:r>
    </w:p>
    <w:p>
      <w:pPr>
        <w:spacing w:after="100"/>
      </w:pPr>
      <w:r>
        <w:t xml:space="preserve">Average turnaround time measures the elapsed time from document creation to completion (signature or approval). This metric reveals document efficiency and enables identification of bottlenecks. Documents that take months to execute indicate process problems that require attention. Documents that execute within hours demonstrate efficient processes.</w:t>
      </w:r>
    </w:p>
    <w:p>
      <w:pPr>
        <w:spacing w:after="100"/>
      </w:pPr>
      <w:r>
        <w:t xml:space="preserve">Turnaround time broken down by document type reveals which document types require the most elapsed time. Simple thank-you letters might take hours to complete while complex vendor contracts might legitimately take weeks. Understanding these differences enables realistic expectation setting and identification of legitimately problematic documents.</w:t>
      </w:r>
    </w:p>
    <w:p>
      <w:pPr>
        <w:spacing w:after="100"/>
      </w:pPr>
      <w:r>
        <w:t xml:space="preserve">Turnaround time broken down by recipient reveals which recipients are responsive and quickly execute documents. Responsive recipients enable faster campaign operations. Unresponsive recipients indicate potential relationship issues or simply individuals who are busy and might need reminders.</w:t>
      </w:r>
    </w:p>
    <w:p>
      <w:pPr>
        <w:spacing w:after="100"/>
      </w:pPr>
      <w:r>
        <w:t xml:space="preserve">Administrators can set turnaround time targets for different document types, with the system flagging documents that exceed target timelines. A vendor contract with a 14-day target that remains unsigned after 21 days automatically triggers escalation workflow, automatically sending reminder to recipient and escalating to campaign leadership if still unsigned after additional 7 days.</w:t>
      </w:r>
    </w:p>
    <w:p>
      <w:pPr>
        <w:pStyle w:val="Heading2"/>
        <w:spacing w:before="200" w:after="100"/>
      </w:pPr>
      <w:r>
        <w:t xml:space="preserve">Template Usage Statistics</w:t>
      </w:r>
    </w:p>
    <w:p>
      <w:pPr>
        <w:spacing w:after="100"/>
      </w:pPr>
      <w:r>
        <w:t xml:space="preserve">Template usage statistics track which templates are being used, how frequently, and by which users. This data drives decisions about template management including whether to create new templates, retire obsolete templates, or update existing templates to better match user needs.</w:t>
      </w:r>
    </w:p>
    <w:p>
      <w:pPr>
        <w:spacing w:after="100"/>
      </w:pPr>
      <w:r>
        <w:t xml:space="preserve">High-usage templates represent proven solutions that are successfully addressing user needs. These templates should be continuously refined and maintained to ensure they remain optimal. Administrators might expand high-usage templates by creating variations for different use cases.</w:t>
      </w:r>
    </w:p>
    <w:p>
      <w:pPr>
        <w:spacing w:after="100"/>
      </w:pPr>
      <w:r>
        <w:t xml:space="preserve">Low-usage templates despite seemingly high relevance might indicate visibility problems. Users might not know the templates exist or might not understand how to access them. Administrators might resolve low-usage through improved template discovery, better naming/description, or integration into user workflows.</w:t>
      </w:r>
    </w:p>
    <w:p>
      <w:pPr>
        <w:spacing w:after="100"/>
      </w:pPr>
      <w:r>
        <w:t xml:space="preserve">Template adoption tracking reveals whether newly created templates quickly gain adoption or languish unused. Successful new templates might be promoted as best practices while unsuccessful new templates might be refined or retired. This continuous optimization ensures that the template library remains focused on templates that users actually need.</w:t>
      </w:r>
    </w:p>
    <w:p>
      <w:pPr>
        <w:pStyle w:val="Heading1"/>
        <w:spacing w:before="400" w:after="200"/>
      </w:pPr>
      <w:r>
        <w:t xml:space="preserve">SECTION 5: E20 BRAIN - ARTIFICIAL INTELLIGENCE INTEGRATION</w:t>
      </w:r>
    </w:p>
    <w:p>
      <w:pPr>
        <w:pStyle w:val="Heading2"/>
        <w:spacing w:before="200" w:after="100"/>
      </w:pPr>
      <w:r>
        <w:t xml:space="preserve">Document Template Recommendation Engine</w:t>
      </w:r>
    </w:p>
    <w:p>
      <w:pPr>
        <w:spacing w:after="100"/>
      </w:pPr>
      <w:r>
        <w:t xml:space="preserve">The E20 Brain integrates artificial intelligence into document generation workflows to increase efficiency and improve outcomes. The document template recommendation engine analyzes the campaign context and user needs to proactively recommend appropriate templates. When a campaign manager begins creating a new document, the AI analyzes the document purpose and recommends templates that have successfully addressed similar needs.</w:t>
      </w:r>
    </w:p>
    <w:p>
      <w:pPr>
        <w:spacing w:after="100"/>
      </w:pPr>
      <w:r>
        <w:t xml:space="preserve">The recommendation engine considers multiple signals including document type (vendor agreement, pledge form, compliance document), campaign stage (fundraising phase, operations phase, compliance phase), campaign size, and similar documents previously created in this campaign. The engine might recommend the most-used vendor contract template, similar vendor contracts created previously, or templates from similar campaigns.</w:t>
      </w:r>
    </w:p>
    <w:p>
      <w:pPr>
        <w:spacing w:after="100"/>
      </w:pPr>
      <w:r>
        <w:t xml:space="preserve">Recommendations are presented ranked by relevance, with the most appropriate template listed first. Users can accept recommendations or search for alternatives. Over time, the recommendation engine learns from user behavior, improving recommendations based on which recommendations users accepted and which they rejected.</w:t>
      </w:r>
    </w:p>
    <w:p>
      <w:pPr>
        <w:pStyle w:val="Heading2"/>
        <w:spacing w:before="200" w:after="100"/>
      </w:pPr>
      <w:r>
        <w:t xml:space="preserve">Auto-Population Intelligence</w:t>
      </w:r>
    </w:p>
    <w:p>
      <w:pPr>
        <w:spacing w:after="100"/>
      </w:pPr>
      <w:r>
        <w:t xml:space="preserve">The auto-population intelligence system analyzes merge fields in document templates and intelligently sources appropriate values from campaign systems. Rather than requiring users to manually populate every merge field, the AI system identifies which fields can be automatically populated and retrieves appropriate values.</w:t>
      </w:r>
    </w:p>
    <w:p>
      <w:pPr>
        <w:spacing w:after="100"/>
      </w:pPr>
      <w:r>
        <w:t xml:space="preserve">For a vendor contract, the AI recognizes the vendor name merge field and searches campaign records for matching vendors. It recognizes the contract value merge field and retrieves contract values from campaign financial systems. It recognizes the campaign identifier merge field and retrieves the campaign ID from campaign profile. This intelligent auto-population saves users from manual data entry and ensures data accuracy.</w:t>
      </w:r>
    </w:p>
    <w:p>
      <w:pPr>
        <w:spacing w:after="100"/>
      </w:pPr>
      <w:r>
        <w:t xml:space="preserve">The AI learns over time which merge fields typically come from which data sources and develops rules for auto-population. After analyzing patterns across many documents, the system might recognize that any merge field containing "donor" in the field name should be populated from the donor database, any merge field containing "vendor" should be populated from the vendor database, and any merge field containing "campaign" should be populated from the campaign profile.</w:t>
      </w:r>
    </w:p>
    <w:p>
      <w:pPr>
        <w:pStyle w:val="Heading2"/>
        <w:spacing w:before="200" w:after="100"/>
      </w:pPr>
      <w:r>
        <w:t xml:space="preserve">Signature Reminder Optimization</w:t>
      </w:r>
    </w:p>
    <w:p>
      <w:pPr>
        <w:spacing w:after="100"/>
      </w:pPr>
      <w:r>
        <w:t xml:space="preserve">The E20 Brain optimizes signature reminders by analyzing recipient behavior patterns and identifying the optimal time and frequency for sending reminders. The system learns which recipients respond to reminders quickly versus which recipients require multiple reminders, which recipients prefer email reminders versus other notification methods, and which recipients are more likely to sign during business hours versus evenings.</w:t>
      </w:r>
    </w:p>
    <w:p>
      <w:pPr>
        <w:spacing w:after="100"/>
      </w:pPr>
      <w:r>
        <w:t xml:space="preserve">The reminder optimization system analyzes past behavior to predict which recipients will need reminders and proactively sends optimized reminders before the recipient might otherwise forget about the signing request. A recipient who consistently opens emails at 7:00 AM receives reminders at 6:45 AM rather than random times. A recipient who typically requires two reminders receives a first reminder after 2 days and a second reminder after 5 days based on past patterns.</w:t>
      </w:r>
    </w:p>
    <w:p>
      <w:pPr>
        <w:spacing w:after="100"/>
      </w:pPr>
      <w:r>
        <w:t xml:space="preserve">Reminder messaging is also optimized based on recipient preferences and past effectiveness. Some recipients respond to urgency messaging ("Please sign today"), while others respond to relationship-focused messaging ("We're excited to work with you"). The AI learns these preferences and customizes reminder messaging accordingly.</w:t>
      </w:r>
    </w:p>
    <w:p>
      <w:pPr>
        <w:pStyle w:val="Heading2"/>
        <w:spacing w:before="200" w:after="100"/>
      </w:pPr>
      <w:r>
        <w:t xml:space="preserve">Contract Analysis and Risk Assessment</w:t>
      </w:r>
    </w:p>
    <w:p>
      <w:pPr>
        <w:spacing w:after="100"/>
      </w:pPr>
      <w:r>
        <w:t xml:space="preserve">The E20 Brain analyzes contract documents to identify potential issues, unusual terms, or risks that require attention. When a vendor contract is created, the AI reads through the contract and identifies clauses that might be problematic, unusual liability limits, non-standard termination clauses, or regulatory compliance issues.</w:t>
      </w:r>
    </w:p>
    <w:p>
      <w:pPr>
        <w:spacing w:after="100"/>
      </w:pPr>
      <w:r>
        <w:t xml:space="preserve">The contract analysis system compares contracts against past contracts and identifies differences that might indicate problems. If a vendor contract includes a clause "Vendor is not liable for any damages" while previous vendor contracts limited liability to specific amounts, the system flags this difference as potentially unusual. The system doesn't prevent the contract from being used but alerts the user to differences that might require review.</w:t>
      </w:r>
    </w:p>
    <w:p>
      <w:pPr>
        <w:spacing w:after="100"/>
      </w:pPr>
      <w:r>
        <w:t xml:space="preserve">The system maintains a database of regulatory requirements and compliance obligations, analyzing contracts to ensure they comply with campaign finance regulations and other relevant legal requirements. The system might flag contracts that don't include required FEC compliance language, compliance acknowledgments, or other regulatory requirements.</w:t>
      </w:r>
    </w:p>
    <w:p>
      <w:pPr>
        <w:spacing w:after="100"/>
      </w:pPr>
      <w:r>
        <w:t xml:space="preserve">Contract risk assessment generates risk scores indicating whether contracts fall into normal, unusual, or high-risk categories. Normal contracts that closely match previous vendor contracts receive low risk scores. Unusual contracts with non-standard terms or extraordinary terms receive higher risk scores. High-risk contracts trigger automatic escalation to legal review before sending.</w:t>
      </w:r>
    </w:p>
    <w:p>
      <w:pPr>
        <w:pStyle w:val="Heading1"/>
        <w:spacing w:before="400" w:after="200"/>
      </w:pPr>
      <w:r>
        <w:t xml:space="preserve">SECTION 6: INSPINIA MAPPING - UI/UX FRAMEWORK</w:t>
      </w:r>
    </w:p>
    <w:p>
      <w:pPr>
        <w:pStyle w:val="Heading2"/>
        <w:spacing w:before="200" w:after="100"/>
      </w:pPr>
      <w:r>
        <w:t xml:space="preserve">Inspinia Framework Integration</w:t>
      </w:r>
    </w:p>
    <w:p>
      <w:pPr>
        <w:spacing w:after="100"/>
      </w:pPr>
      <w:r>
        <w:t xml:space="preserve">The E53 Document Generation system is built on the Inspinia responsive UI framework, providing consistent, professional visual design across all interfaces. Inspinia provides a comprehensive set of pre-built UI components including buttons, forms, tables, modals, alerts, and navigation elements, enabling rapid development of professional interfaces without custom styling.</w:t>
      </w:r>
    </w:p>
    <w:p>
      <w:pPr>
        <w:spacing w:after="100"/>
      </w:pPr>
      <w:r>
        <w:t xml:space="preserve">Inspinia's responsive design ensures that E53 interfaces function optimally across desktop computers, tablets, and mobile devices. Campaign managers accessing E53 from office computers receive a full-featured interface optimized for larger screens. Campaign staff accessing E53 from mobile devices during campaign events receive a mobile-optimized interface that presents the most critical information and largest touch targets.</w:t>
      </w:r>
    </w:p>
    <w:p>
      <w:pPr>
        <w:pStyle w:val="Heading3"/>
        <w:spacing w:before="200" w:after="100"/>
      </w:pPr>
      <w:r>
        <w:t xml:space="preserve">Component Library Usage</w:t>
      </w:r>
    </w:p>
    <w:p>
      <w:pPr>
        <w:spacing w:after="100"/>
      </w:pPr>
      <w:r>
        <w:t xml:space="preserve">Inspinia provides a comprehensive component library enabling rapid development of complex interfaces. The Document Creator interface utilizes Inspinia form components including text inputs, text areas, dropdown selectors, date pickers, and file uploaders. These components maintain consistent styling across all forms and provide consistent user experience.</w:t>
      </w:r>
    </w:p>
    <w:p>
      <w:pPr>
        <w:spacing w:after="100"/>
      </w:pPr>
      <w:r>
        <w:t xml:space="preserve">The Template Library interface utilizes Inspinia table and card components to display templates in searchable, sortable, and filterable formats. Users can sort templates by creation date, usage frequency, or popularity. Users can filter templates by document type, campaign function, or user rating. These familiar UI patterns make template discovery intuitive.</w:t>
      </w:r>
    </w:p>
    <w:p>
      <w:pPr>
        <w:spacing w:after="100"/>
      </w:pPr>
      <w:r>
        <w:t xml:space="preserve">The Signature Center interface utilizes Inspinia status indicators, timeline components, and progress visualizations to communicate document status. Status indicators use color coding to indicate pending signatures (yellow), completed signatures (green), and failed signatures (red). Timeline components show the sequence of signature events with dates and times.</w:t>
      </w:r>
    </w:p>
    <w:p>
      <w:pPr>
        <w:spacing w:after="100"/>
      </w:pPr>
      <w:r>
        <w:t xml:space="preserve">The Admin Panel utilizes Inspinia charting components to visualize analytics data. Line charts show document creation trends over time. Bar charts compare document creation across templates, users, or departments. Pie charts show the distribution of documents across document types. These visual representations make analytics data accessible to non-technical administrators.</w:t>
      </w:r>
    </w:p>
    <w:p>
      <w:pPr>
        <w:pStyle w:val="Heading3"/>
        <w:spacing w:before="200" w:after="100"/>
      </w:pPr>
      <w:r>
        <w:t xml:space="preserve">Responsive Layout Design</w:t>
      </w:r>
    </w:p>
    <w:p>
      <w:pPr>
        <w:spacing w:after="100"/>
      </w:pPr>
      <w:r>
        <w:t xml:space="preserve">E53 interfaces are built on Inspinia's responsive grid system, enabling layouts that automatically adjust to different screen sizes. The main navigation bar collapses into a hamburger menu on mobile devices, preserving screen space for content. Multi-column layouts adapt to single-column layouts on smaller screens, ensuring content remains readable.</w:t>
      </w:r>
    </w:p>
    <w:p>
      <w:pPr>
        <w:spacing w:after="100"/>
      </w:pPr>
      <w:r>
        <w:t xml:space="preserve">The document preview pane in the Document Creator remains visible on desktop screens but collapses on mobile devices, as document previewing on small screens would be awkward. Instead, mobile users see a "View Preview" button that displays the document preview in full-screen mode.</w:t>
      </w:r>
    </w:p>
    <w:p>
      <w:pPr>
        <w:spacing w:after="100"/>
      </w:pPr>
      <w:r>
        <w:t xml:space="preserve">Tables presenting document lists, signature status, and analytics remain fully functional on mobile devices with horizontal scrolling enabling access to additional columns. Alternatively, table layouts adapt to card-based layouts on mobile devices, presenting each row as a card with key information highlighted.</w:t>
      </w:r>
    </w:p>
    <w:p>
      <w:pPr>
        <w:pStyle w:val="Heading3"/>
        <w:spacing w:before="200" w:after="100"/>
      </w:pPr>
      <w:r>
        <w:t xml:space="preserve">Color and Theming</w:t>
      </w:r>
    </w:p>
    <w:p>
      <w:pPr>
        <w:spacing w:after="100"/>
      </w:pPr>
      <w:r>
        <w:t xml:space="preserve">Inspinia provides a professional color palette with primary colors, accent colors, and semantic colors (green for success, red for errors, yellow for warnings, blue for information). E53 applies this color palette consistently, using green for signed documents, red for documents requiring attention, yellow for pending signatures, and blue for informational messages.</w:t>
      </w:r>
    </w:p>
    <w:p>
      <w:pPr>
        <w:spacing w:after="100"/>
      </w:pPr>
      <w:r>
        <w:t xml:space="preserve">Dark mode support through Inspinia enables users with dark mode preferences to use E53 with a dark color scheme, reducing eye strain during extended use. The dark mode maintains the same information hierarchy and visual organization as the light mode, just with inverted colors.</w:t>
      </w:r>
    </w:p>
    <w:p>
      <w:pPr>
        <w:spacing w:after="100"/>
      </w:pPr>
      <w:r>
        <w:t xml:space="preserve">Custom branding integration allows campaigns to customize E53's color scheme to match campaign branding. A campaign with blue and red branding can customize the primary color to campaign blue and accent colors to campaign red. This customization extends to all UI elements including buttons, status indicators, and link colors.</w:t>
      </w:r>
    </w:p>
    <w:p>
      <w:pPr>
        <w:pStyle w:val="Heading1"/>
        <w:spacing w:before="400" w:after="200"/>
      </w:pPr>
      <w:r>
        <w:t xml:space="preserve">SECTION 7: SSSA - STRATEGIC SYSTEMS INTEGRATION ARCHITECTURE</w:t>
      </w:r>
    </w:p>
    <w:p>
      <w:pPr>
        <w:pStyle w:val="Heading2"/>
        <w:spacing w:before="200" w:after="100"/>
      </w:pPr>
      <w:r>
        <w:t xml:space="preserve">System Integration Framework</w:t>
      </w:r>
    </w:p>
    <w:p>
      <w:pPr>
        <w:spacing w:after="100"/>
      </w:pPr>
      <w:r>
        <w:t xml:space="preserve">The Strategic Systems Integration Architecture (SSSA) defines how E53 integrates with other BroyhillGOP systems to create a seamless ecosystem. Rather than operating as an isolated application, E53 serves as the document layer of a larger campaign management platform, with tight integration to financial systems, donor management systems, volunteer systems, and compliance systems.</w:t>
      </w:r>
    </w:p>
    <w:p>
      <w:pPr>
        <w:pStyle w:val="Heading3"/>
        <w:spacing w:before="200" w:after="100"/>
      </w:pPr>
      <w:r>
        <w:t xml:space="preserve">Data Flow Architecture</w:t>
      </w:r>
    </w:p>
    <w:p>
      <w:pPr>
        <w:spacing w:after="100"/>
      </w:pPr>
      <w:r>
        <w:t xml:space="preserve">Data flows bidirectionally between E53 and other BroyhillGOP systems. Campaign financial systems provide contract values, vendor information, and payment authorizations to E53 for document population. E53 reports back to financial systems when contracts are executed, triggering financial system workflows. Donor management systems provide donor information, giving history, and contact information to E53 for personalized letter generation. E53 reports back to donor systems when pledge documents are signed, updating donor records with pledge commitments.</w:t>
      </w:r>
    </w:p>
    <w:p>
      <w:pPr>
        <w:spacing w:after="100"/>
      </w:pPr>
      <w:r>
        <w:t xml:space="preserve">Volunteer systems provide volunteer information to E53 for volunteer agreement generation. E53 reports back to volunteer systems when volunteer agreements are signed, confirming volunteer enrollment. Compliance systems provide regulatory requirements and compliance templates to E53, and E53 reports back when compliance documents are completed, confirming regulatory compliance.</w:t>
      </w:r>
    </w:p>
    <w:p>
      <w:pPr>
        <w:pStyle w:val="Heading3"/>
        <w:spacing w:before="200" w:after="100"/>
      </w:pPr>
      <w:r>
        <w:t xml:space="preserve">API Integration Strategy</w:t>
      </w:r>
    </w:p>
    <w:p>
      <w:pPr>
        <w:spacing w:after="100"/>
      </w:pPr>
      <w:r>
        <w:t xml:space="preserve">E53 exposes a comprehensive REST API enabling other systems to programmatically create documents, send documents, track document status, and retrieve signed documents. The API follows REST principles with standard HTTP methods (GET for retrieval, POST for creation, PUT for updates, DELETE for removal) and standard HTTP status codes for error handling.</w:t>
      </w:r>
    </w:p>
    <w:p>
      <w:pPr>
        <w:spacing w:after="100"/>
      </w:pPr>
      <w:r>
        <w:t xml:space="preserve">External systems can call the E53 API to programmatically generate documents without requiring user interaction with the E53 interface. A fundraising workflow might automatically generate and send thank-you letters when donations are received, entirely through API calls without manual intervention. A volunteer management system might automatically send volunteer agreements to new volunteers, with the volunteer's email address retrieved from the volunteer system and passed to E53.</w:t>
      </w:r>
    </w:p>
    <w:p>
      <w:pPr>
        <w:pStyle w:val="Heading3"/>
        <w:spacing w:before="200" w:after="100"/>
      </w:pPr>
      <w:r>
        <w:t xml:space="preserve">Webhook Integration</w:t>
      </w:r>
    </w:p>
    <w:p>
      <w:pPr>
        <w:spacing w:after="100"/>
      </w:pPr>
      <w:r>
        <w:t xml:space="preserve">E53 supports webhooks enabling real-time notifications to external systems when key events occur. When a document is signed, E53 sends a webhook notification to all subscribed external systems, enabling those systems to immediately respond to document signing. A campaign finance system might receive a webhook notification that a vendor contract was signed and immediately activate the vendor in financial systems.</w:t>
      </w:r>
    </w:p>
    <w:p>
      <w:pPr>
        <w:spacing w:after="100"/>
      </w:pPr>
      <w:r>
        <w:t xml:space="preserve">Webhook subscriptions can be configured to notify external systems of specific events including document creation, document sending, document opening, document signing, document completion, signature failure, and signature reminders. External systems can subscribe only to events they care about, reducing unnecessary notifications.</w:t>
      </w:r>
    </w:p>
    <w:p>
      <w:pPr>
        <w:pStyle w:val="Heading3"/>
        <w:spacing w:before="200" w:after="100"/>
      </w:pPr>
      <w:r>
        <w:t xml:space="preserve">Database Synchronization</w:t>
      </w:r>
    </w:p>
    <w:p>
      <w:pPr>
        <w:spacing w:after="100"/>
      </w:pPr>
      <w:r>
        <w:t xml:space="preserve">E53 maintains synchronized data copies of vendor information, donor information, volunteer information, and campaign information pulled from source systems. This local data cache enables E53 to immediately populate merge fields without waiting for real-time API calls to source systems. Synchronization occurs on a scheduled basis (every hour) and also immediately when critical information is updated in source systems.</w:t>
      </w:r>
    </w:p>
    <w:p>
      <w:pPr>
        <w:spacing w:after="100"/>
      </w:pPr>
      <w:r>
        <w:t xml:space="preserve">If the donor database is updated to change a donor's email address, E53 is immediately notified and updates its local copy. This ensures that thank-you letters sent immediately after the email update use the correct email address. If a vendor's payment terms change in the financial system, E53 updates its local copy to ensure new vendor contracts reflect the current payment terms.</w:t>
      </w:r>
    </w:p>
    <w:p>
      <w:pPr>
        <w:pStyle w:val="Heading3"/>
        <w:spacing w:before="200" w:after="100"/>
      </w:pPr>
      <w:r>
        <w:t xml:space="preserve">Audit Trail and Compliance Reporting</w:t>
      </w:r>
    </w:p>
    <w:p>
      <w:pPr>
        <w:spacing w:after="100"/>
      </w:pPr>
      <w:r>
        <w:t xml:space="preserve">E53 maintains comprehensive audit trails documenting all system actions, external system integrations, and data flows. Compliance systems can query E53 to retrieve audit trail information for regulatory reporting. The audit trail documents when documents were created, who created them, when they were sent, when recipients opened them, when they were signed, and what data was used to populate merge fields.</w:t>
      </w:r>
    </w:p>
    <w:p>
      <w:pPr>
        <w:spacing w:after="100"/>
      </w:pPr>
      <w:r>
        <w:t xml:space="preserve">This audit trail is invaluable for FEC compliance investigations. If an investigator questions whether a donor pledge document was properly executed, E53 can provide complete documentation of when the pledge was generated, to whom it was sent, evidence that the recipient opened it, timestamp of when they signed it, and what pledge amount was included in the document.</w:t>
      </w:r>
    </w:p>
    <w:p>
      <w:pPr>
        <w:pStyle w:val="Heading1"/>
        <w:spacing w:before="400" w:after="200"/>
      </w:pPr>
      <w:r>
        <w:t xml:space="preserve">SECTION 8: CAMPAIGN CHIEF - CONVERSATIONAL INTERFACE</w:t>
      </w:r>
    </w:p>
    <w:p>
      <w:pPr>
        <w:pStyle w:val="Heading2"/>
        <w:spacing w:before="200" w:after="100"/>
      </w:pPr>
      <w:r>
        <w:t xml:space="preserve">Natural Language Interaction Framework</w:t>
      </w:r>
    </w:p>
    <w:p>
      <w:pPr>
        <w:spacing w:after="100"/>
      </w:pPr>
      <w:r>
        <w:t xml:space="preserve">Campaign Chief is a conversational AI interface enabling campaign staff to interact with E53 through natural language dialogue rather than navigating complex menus and forms. Rather than clicking through multiple steps to generate a document, a staff member can simply ask "Generate a thank-you letter for John Smith who donated $5,000 to the campaign" and Campaign Chief handles all the complexity of finding appropriate templates, populating merge fields, and generating the document.</w:t>
      </w:r>
    </w:p>
    <w:p>
      <w:pPr>
        <w:spacing w:after="100"/>
      </w:pPr>
      <w:r>
        <w:t xml:space="preserve">Campaign Chief processes natural language requests, understands intent, extracts relevant parameters, and executes appropriate actions. The conversational interface is forgiving of imprecise language, understanding variations like "send a signature request", "get someone to sign this", and "need their signature" as variations of the same intent.</w:t>
      </w:r>
    </w:p>
    <w:p>
      <w:pPr>
        <w:pStyle w:val="Heading2"/>
        <w:spacing w:before="200" w:after="100"/>
      </w:pPr>
      <w:r>
        <w:t xml:space="preserve">Dialog 1: Document Generation Request</w:t>
      </w:r>
    </w:p>
    <w:p>
      <w:pPr>
        <w:spacing w:after="100"/>
      </w:pPr>
      <w:r>
        <w:t xml:space="preserve">User: "I need to create a contract with TechVendor Inc. for voter database services."</w:t>
      </w:r>
    </w:p>
    <w:p>
      <w:pPr>
        <w:spacing w:after="100"/>
      </w:pPr>
      <w:r>
        <w:t xml:space="preserve">Campaign Chief: "I can help with that. Based on your request, I found our vendor contract template. I see that TechVendor Inc. is already in our vendor database. Before I generate the contract, I need a few details: What is the contract value, and what is the contract duration (how long will they provide services)?"</w:t>
      </w:r>
    </w:p>
    <w:p>
      <w:pPr>
        <w:spacing w:after="100"/>
      </w:pPr>
      <w:r>
        <w:t xml:space="preserve">User: "The contract is for $50,000 and runs for six months."</w:t>
      </w:r>
    </w:p>
    <w:p>
      <w:pPr>
        <w:spacing w:after="100"/>
      </w:pPr>
      <w:r>
        <w:t xml:space="preserve">Campaign Chief: "Perfect. I've generated the vendor contract with TechVendor Inc. for $50,000 over six months. The contract includes our standard terms including payment schedule, service level expectations, and FEC compliance language. Who should I send this to for signature? I can send it to the primary contact for TechVendor Inc., or you can provide a specific email address."</w:t>
      </w:r>
    </w:p>
    <w:p>
      <w:pPr>
        <w:spacing w:after="100"/>
      </w:pPr>
      <w:r>
        <w:t xml:space="preserve">User: "Send it to their primary contact."</w:t>
      </w:r>
    </w:p>
    <w:p>
      <w:pPr>
        <w:spacing w:after="100"/>
      </w:pPr>
      <w:r>
        <w:t xml:space="preserve">Campaign Chief: "I've sent the contract to contracts@techvendor.com with a signature request. I'll monitor the signature status and let you know when they complete signing. In the meantime, you can track the contract status in the Signature Center."</w:t>
      </w:r>
    </w:p>
    <w:p>
      <w:pPr>
        <w:spacing w:after="100"/>
      </w:pPr>
      <w:r>
        <w:t xml:space="preserve">This dialog demonstrates how Campaign Chief simplifies document generation by extracting essential information through natural conversation rather than requiring users to navigate complex form interfaces.</w:t>
      </w:r>
    </w:p>
    <w:p>
      <w:pPr>
        <w:pStyle w:val="Heading2"/>
        <w:spacing w:before="200" w:after="100"/>
      </w:pPr>
      <w:r>
        <w:t xml:space="preserve">Dialog 2: Contract Status Inquiry</w:t>
      </w:r>
    </w:p>
    <w:p>
      <w:pPr>
        <w:spacing w:after="100"/>
      </w:pPr>
      <w:r>
        <w:t xml:space="preserve">User: "What's the status of the TechVendor contract we sent last week?"</w:t>
      </w:r>
    </w:p>
    <w:p>
      <w:pPr>
        <w:spacing w:after="100"/>
      </w:pPr>
      <w:r>
        <w:t xml:space="preserve">Campaign Chief: "The TechVendor contract for $50,000 was sent 5 days ago. The contract was opened by their representative 2 days ago and they spent about 15 minutes reviewing it. They haven't completed signing yet. Would you like me to send them a reminder?"</w:t>
      </w:r>
    </w:p>
    <w:p>
      <w:pPr>
        <w:spacing w:after="100"/>
      </w:pPr>
      <w:r>
        <w:t xml:space="preserve">User: "Yes, send a reminder."</w:t>
      </w:r>
    </w:p>
    <w:p>
      <w:pPr>
        <w:spacing w:after="100"/>
      </w:pPr>
      <w:r>
        <w:t xml:space="preserve">Campaign Chief: "I've sent a reminder to their primary contact. I also noted that they spent significant time reviewing the contract but haven't completed signing, so they might have questions. Would you like me to flag this for follow-up with the vendor contact?"</w:t>
      </w:r>
    </w:p>
    <w:p>
      <w:pPr>
        <w:spacing w:after="100"/>
      </w:pPr>
      <w:r>
        <w:t xml:space="preserve">User: "Yes, please follow up with them."</w:t>
      </w:r>
    </w:p>
    <w:p>
      <w:pPr>
        <w:spacing w:after="100"/>
      </w:pPr>
      <w:r>
        <w:t xml:space="preserve">Campaign Chief: "I've sent a follow-up email to TechVendor Inc. asking if they have any questions about the contract and offering to discuss any concerns. I'll keep you updated on their response."</w:t>
      </w:r>
    </w:p>
    <w:p>
      <w:pPr>
        <w:spacing w:after="100"/>
      </w:pPr>
      <w:r>
        <w:t xml:space="preserve">This dialog demonstrates how Campaign Chief enables status tracking and proactive management of pending documents through conversational interface rather than requiring users to check dashboards.</w:t>
      </w:r>
    </w:p>
    <w:p>
      <w:pPr>
        <w:pStyle w:val="Heading2"/>
        <w:spacing w:before="200" w:after="100"/>
      </w:pPr>
      <w:r>
        <w:t xml:space="preserve">Dialog 3: Compliance Document Deadline Management</w:t>
      </w:r>
    </w:p>
    <w:p>
      <w:pPr>
        <w:spacing w:after="100"/>
      </w:pPr>
      <w:r>
        <w:t xml:space="preserve">Campaign Chief: "We have three compliance documents with upcoming deadlines in the next two weeks."</w:t>
      </w:r>
    </w:p>
    <w:p>
      <w:pPr>
        <w:spacing w:after="100"/>
      </w:pPr>
      <w:r>
        <w:t xml:space="preserve">User: "Which ones?"</w:t>
      </w:r>
    </w:p>
    <w:p>
      <w:pPr>
        <w:spacing w:after="100"/>
      </w:pPr>
      <w:r>
        <w:t xml:space="preserve">Campaign Chief: "First, we need to complete quarterly FEC filings by February 28 - that's 11 days away. Second, we need to submit our monthly volunteer compliance certification by March 5. Third, we need to finalize our campaign budget documentation by March 10. Do you want me to create reminder tasks for these or help you generate any of these documents now?"</w:t>
      </w:r>
    </w:p>
    <w:p>
      <w:pPr>
        <w:spacing w:after="100"/>
      </w:pPr>
      <w:r>
        <w:t xml:space="preserve">User: "Let's start with the FEC filings. Generate the quarterly filing document."</w:t>
      </w:r>
    </w:p>
    <w:p>
      <w:pPr>
        <w:spacing w:after="100"/>
      </w:pPr>
      <w:r>
        <w:t xml:space="preserve">Campaign Chief: "I've generated the FEC quarterly filing document. This document includes all of our fundraising and spending data through the end of February, automatically extracted from our financial records. The document is ready for legal review before submission. Would you like me to send it to the legal team for review?"</w:t>
      </w:r>
    </w:p>
    <w:p>
      <w:pPr>
        <w:spacing w:after="100"/>
      </w:pPr>
      <w:r>
        <w:t xml:space="preserve">User: "Yes, send it for legal review."</w:t>
      </w:r>
    </w:p>
    <w:p>
      <w:pPr>
        <w:spacing w:after="100"/>
      </w:pPr>
      <w:r>
        <w:t xml:space="preserve">Campaign Chief: "I've sent the FEC filing document to the legal team with a request for review. I'll track their review progress and send a reminder if it's not completed within 5 days, giving us time for any revisions before the February 28 deadline."</w:t>
      </w:r>
    </w:p>
    <w:p>
      <w:pPr>
        <w:spacing w:after="100"/>
      </w:pPr>
      <w:r>
        <w:t xml:space="preserve">This dialog demonstrates how Campaign Chief assists with compliance deadline management by proactively identifying upcoming deadlines and facilitating document generation and review workflows.</w:t>
      </w:r>
    </w:p>
    <w:p>
      <w:pPr>
        <w:pStyle w:val="Heading2"/>
        <w:spacing w:before="200" w:after="100"/>
      </w:pPr>
      <w:r>
        <w:t xml:space="preserve">Dialog 4: Bulk Letter Generation</w:t>
      </w:r>
    </w:p>
    <w:p>
      <w:pPr>
        <w:spacing w:after="100"/>
      </w:pPr>
      <w:r>
        <w:t xml:space="preserve">User: "I want to send thank-you letters to all donors who gave over $1,000 last month."</w:t>
      </w:r>
    </w:p>
    <w:p>
      <w:pPr>
        <w:spacing w:after="100"/>
      </w:pPr>
      <w:r>
        <w:t xml:space="preserve">Campaign Chief: "That's great. I found 47 donors who gave over $1,000 in January. I have the following options: First, I can generate and send personalized thank-you letters with each donor's name, contribution amount, and specific contribution purpose automatically included. Second, I can generate a batch of letters for you to review before sending. Which approach would you prefer?"</w:t>
      </w:r>
    </w:p>
    <w:p>
      <w:pPr>
        <w:spacing w:after="100"/>
      </w:pPr>
      <w:r>
        <w:t xml:space="preserve">User: "Generate them for review first."</w:t>
      </w:r>
    </w:p>
    <w:p>
      <w:pPr>
        <w:spacing w:after="100"/>
      </w:pPr>
      <w:r>
        <w:t xml:space="preserve">Campaign Chief: "I've generated 47 personalized thank-you letters - one for each donor over $1,000. Each letter includes the donor's name, contribution amount, and a personalized message about why their contribution matters. The letters are ready in a batch for your review. You can review them individually or preview all 47 at once. Would you like to review them now?"</w:t>
      </w:r>
    </w:p>
    <w:p>
      <w:pPr>
        <w:spacing w:after="100"/>
      </w:pPr>
      <w:r>
        <w:t xml:space="preserve">User: "Preview all of them."</w:t>
      </w:r>
    </w:p>
    <w:p>
      <w:pPr>
        <w:spacing w:after="100"/>
      </w:pPr>
      <w:r>
        <w:t xml:space="preserve">Campaign Chief: "I've prepared a preview showing all 47 letters. You can scroll through them to verify they look correct. If you're satisfied, I can send them all out immediately. If you want to make changes to specific letters or the template, let me know."</w:t>
      </w:r>
    </w:p>
    <w:p>
      <w:pPr>
        <w:spacing w:after="100"/>
      </w:pPr>
      <w:r>
        <w:t xml:space="preserve">User: "They look good. Send them all out."</w:t>
      </w:r>
    </w:p>
    <w:p>
      <w:pPr>
        <w:spacing w:after="100"/>
      </w:pPr>
      <w:r>
        <w:t xml:space="preserve">Campaign Chief: "I've sent all 47 thank-you letters to the respective donors. I'll track open rates and let you know which donors have opened their letters. This is a great way to strengthen relationships with major donors."</w:t>
      </w:r>
    </w:p>
    <w:p>
      <w:pPr>
        <w:spacing w:after="100"/>
      </w:pPr>
      <w:r>
        <w:t xml:space="preserve">This dialog demonstrates how Campaign Chief simplifies bulk document generation by understanding intent, identifying eligible recipients, and executing bulk operations through conversational interface.</w:t>
      </w:r>
    </w:p>
    <w:p>
      <w:pPr>
        <w:pStyle w:val="Heading1"/>
        <w:spacing w:before="400" w:after="200"/>
      </w:pPr>
      <w:r>
        <w:t xml:space="preserve">Conclusion</w:t>
      </w:r>
    </w:p>
    <w:p>
      <w:pPr>
        <w:spacing w:after="100"/>
      </w:pPr>
      <w:r>
        <w:t xml:space="preserve">The E53 Document Generation ecosystem represents a comprehensive solution for automating campaign document workflows. By cloning PandaDoc's proven architecture and adapting it specifically for campaign needs, E53 enables campaigns to manage vendor contracts, volunteer agreements, donor pledges, compliance documents, and campaign communications with minimal manual effort while maintaining strict compliance with campaign finance regulations.</w:t>
      </w:r>
    </w:p>
    <w:p>
      <w:pPr>
        <w:spacing w:after="100"/>
      </w:pPr>
      <w:r>
        <w:t xml:space="preserve">The integration of E53 with other BroyhillGOP systems through SSSA architecture ensures that document workflows seamlessly integrate with campaign operations, financial management, donor management, and volunteer management. The inclusion of E20 Brain artificial intelligence capabilities further enhances efficiency by automating template selection, merge field population, signature reminder optimization, and contract analysis.</w:t>
      </w:r>
    </w:p>
    <w:p>
      <w:pPr>
        <w:spacing w:after="100"/>
      </w:pPr>
      <w:r>
        <w:t xml:space="preserve">The Inspinia-based user interface provides a professional, responsive design enabling staff to efficiently interact with E53 from any device. The Campaign Chief conversational interface makes advanced document automation capabilities accessible to non-technical campaign staff through natural language interaction.</w:t>
      </w:r>
    </w:p>
    <w:p>
      <w:pPr>
        <w:spacing w:after="100"/>
      </w:pPr>
      <w:r>
        <w:t xml:space="preserve">By implementing E53, campaigns gain the ability to automate repetitive document workflows, reduce compliance risks, improve document turnaround times, and strengthen stakeholder relationships through personalized, professional communications. The ecosystem report demonstrates that thoughtful document automation can become a competitive advantage for political campaigns.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2026-02-17T06:23:56.128Z</dcterms:created>
  <dcterms:modified xsi:type="dcterms:W3CDTF">2026-02-17T06:23:56.128Z</dcterms:modified>
</cp:coreProperties>
</file>

<file path=docProps/custom.xml><?xml version="1.0" encoding="utf-8"?>
<Properties xmlns="http://schemas.openxmlformats.org/officeDocument/2006/custom-properties" xmlns:vt="http://schemas.openxmlformats.org/officeDocument/2006/docPropsVTypes"/>
</file>