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 xml:space="preserve">E07 ISSUE TRACKING ECOSYSTEM REPORT</w:t>
      </w:r>
    </w:p>
    <w:p>
      <w:pPr>
        <w:spacing w:after="100"/>
        <w:jc w:val="center"/>
      </w:pPr>
      <w:r>
        <w:t xml:space="preserve">BroyhillGOP Campaign Platform</w:t>
      </w:r>
    </w:p>
    <w:p>
      <w:pPr>
        <w:spacing w:after="600"/>
        <w:jc w:val="center"/>
      </w:pPr>
      <w:r>
        <w:t xml:space="preserve">Cloned from ISideWith Framework</w:t>
      </w:r>
    </w:p>
    <w:p>
      <w:pPr>
        <w:spacing w:after="200" w:line="360"/>
        <w:jc w:val="center"/>
      </w:pPr>
      <w:r>
        <w:t xml:space="preserve">Generated: 2/17/2026</w:t>
      </w:r>
    </w:p>
    <w:p>
      <w:r>
        <w:br w:type="page"/>
      </w:r>
    </w:p>
    <w:p>
      <w:pPr>
        <w:pBdr>
          <w:bottom w:val="single" w:color="auto" w:sz="6" w:space="1"/>
        </w:pBdr>
        <w:spacing w:before="400" w:after="200"/>
      </w:pPr>
      <w:r>
        <w:t xml:space="preserve">SECTION 1: APP CLONE AUDIT — ISideWith</w:t>
      </w:r>
    </w:p>
    <w:p>
      <w:pPr>
        <w:spacing w:after="200" w:line="360"/>
        <w:jc w:val="left"/>
      </w:pPr>
      <w:r>
        <w:t xml:space="preserve">The E07 Issue Tracking ecosystem is architected as a direct clone and enhancement of the ISideWith political matching platform, adapted for campaign operations within the BroyhillGOP infrastructure. ISideWith's foundational strength lies in its comprehensive issue database, voter alignment scoring, and policy matching algorithms. The clone audit maps each ISideWith feature to parallel BroyhillGOP functionality, ensuring feature parity while adding proprietary campaign intelligence capabilities.</w:t>
      </w:r>
    </w:p>
    <w:p>
      <w:pPr>
        <w:spacing w:after="200" w:line="360"/>
        <w:jc w:val="left"/>
      </w:pPr>
      <w:r>
        <w:t xml:space="preserve">ISideWith maintains a curated political issue database spanning economy, healthcare, education, environment, immigration, social policy, and foreign policy domains. Each issue contains candidate position statements, voting records, and public opinion polling data. The platform's core algorithm matches voter responses to candidate positions, generating alignment percentages that drive engagement and conversion. This scoring mechanism becomes the foundation for E07's voter-candidate alignment module.</w:t>
      </w:r>
    </w:p>
    <w:p>
      <w:pPr>
        <w:spacing w:after="200" w:line="360"/>
        <w:jc w:val="left"/>
      </w:pPr>
      <w:r>
        <w:t xml:space="preserve">The ISideWith voter quiz mechanism presents voters with 30-50 policy questions across issue domains, capturing nuanced voter preferences. Responses are weighted by issue salience—voters indicate importance levels for each issue. This granular data enables segment-level analysis and targeting. E07 adapts this quiz framework into the District Issue Priorities module, where candidate positions are mapped against constituent issue hierarchies.</w:t>
      </w:r>
    </w:p>
    <w:p>
      <w:pPr>
        <w:spacing w:after="200" w:line="360"/>
        <w:jc w:val="left"/>
      </w:pPr>
      <w:r>
        <w:t xml:space="preserve">ISideWith's issue categorization system organizes 60+ distinct issues into 8 primary domains: economy (tax policy, trade, wage regulation), healthcare (insurance, drug pricing, abortion), education (funding, school choice, student debt), environment (climate action, conservation, energy), immigration (border security, deportation, visas), social policy (gun rights, criminal justice, LGBTQ), foreign policy (military spending, interventionism, alliances), and technology policy (regulation, privacy, startup innovation).</w:t>
      </w:r>
    </w:p>
    <w:p>
      <w:pPr>
        <w:spacing w:after="200" w:line="360"/>
        <w:jc w:val="left"/>
      </w:pPr>
      <w:r>
        <w:t xml:space="preserve">Position statements within ISideWith are candidate-authored, sourced from official statements, voting records, and campaign literature. The platform standardizes these into 3-5 sentence summaries capturing candidate stance, rationale, and policy specifics. E07 replicates this standardization in the Position Statement Editor, enabling candidates to author or update positions with consistency checks ensuring message coherence across issues.</w:t>
      </w:r>
    </w:p>
    <w:p>
      <w:pPr>
        <w:spacing w:after="200" w:line="360"/>
        <w:jc w:val="left"/>
      </w:pPr>
      <w:r>
        <w:t xml:space="preserve">ISideWith's voting record tracking automatically extracts candidate voting patterns from legislative databases, correlating votes to specific issues. A candidate who votes to restrict abortion funding receives markers on the abortion issue; a vote for green energy credits marks the climate action issue. This automatic categorization enables rapid legislative scorecard generation. E07 integrates voting record tracking through the Bill Tracker module, which feeds the Legislative Scorecard.</w:t>
      </w:r>
    </w:p>
    <w:p>
      <w:pPr>
        <w:spacing w:after="200" w:line="360"/>
        <w:jc w:val="left"/>
      </w:pPr>
      <w:r>
        <w:t xml:space="preserve">Bill tracking within ISideWith follows pending and proposed legislation, extracting bill text, sponsor information, and predicted outcomes. Each bill is tagged with relevant issues. When a bill advances, ISideWith notifies candidates and voters of voting opportunities. E07's legislative tracker extends this with AI-powered impact forecasting, predicting district-level effects of pending legislation.</w:t>
      </w:r>
    </w:p>
    <w:p>
      <w:pPr>
        <w:spacing w:after="200" w:line="360"/>
        <w:jc w:val="left"/>
      </w:pPr>
      <w:r>
        <w:t xml:space="preserve">Legislative scoring assigns candidates numerical ratings (0-100) based on voting patterns on key issues. A voting record aligned with conservative economic policy yields high scores on economy issues; pro-environment votes increase environmental scores. ISideWith publishes these scorecards, enabling voter comparison. E07 generates scorecards dynamically, recomputing as new votes are recorded.</w:t>
      </w:r>
    </w:p>
    <w:p>
      <w:pPr>
        <w:spacing w:after="200" w:line="360"/>
        <w:jc w:val="left"/>
      </w:pPr>
      <w:r>
        <w:t xml:space="preserve">ISideWith's issue polling module aggregates public opinion data from major polling firms, displaying voter sentiment on each issue at national and regional levels. Voters see whether their position aligns with district or national consensus. E07 extends polling integration to include district-specific polling, demographic breakdowns (age, gender, income), and temporal trend analysis showing how voter priorities shift.</w:t>
      </w:r>
    </w:p>
    <w:p>
      <w:pPr>
        <w:spacing w:after="200" w:line="360"/>
        <w:jc w:val="left"/>
      </w:pPr>
      <w:r>
        <w:t xml:space="preserve">Voter alignment scoring is ISideWith's signature feature: after completing the quiz, voters receive a report showing their alignment percentage with each candidate. A voter aligned 87% with Candidate A and 42% with Candidate B immediately understands relative preference. E07 adapts this into Voter-Candidate Alignment Scoring, enabling personalized messaging based on alignment gaps.</w:t>
      </w:r>
    </w:p>
    <w:p>
      <w:pPr>
        <w:spacing w:after="200" w:line="360"/>
        <w:jc w:val="left"/>
      </w:pPr>
      <w:r>
        <w:t xml:space="preserve">District issue analysis within ISideWith aggregates voter quiz responses at geographic level, revealing which issues matter most in each district. A rural district may prioritize agriculture subsidies; an urban district may focus on climate policy. These insights drive campaign targeting. E07 formalizes district issue analysis into the District Analysis command center section, with demographic and geographic breakdowns.</w:t>
      </w:r>
    </w:p>
    <w:p>
      <w:pPr>
        <w:spacing w:after="200" w:line="360"/>
        <w:jc w:val="left"/>
      </w:pPr>
      <w:r>
        <w:t xml:space="preserve">Trending issues within ISideWith are issues experiencing rapid increase in voter queries or media mentions. ISideWith surfaces these for candidate awareness. E07's trending issues feature integrates social media monitoring, news analysis, and voter engagement metrics to identify emerging issues before they reach mainstream attention.</w:t>
      </w:r>
    </w:p>
    <w:p>
      <w:pPr>
        <w:spacing w:after="200" w:line="360"/>
        <w:jc w:val="left"/>
      </w:pPr>
      <w:r>
        <w:t xml:space="preserve">Issue comparison tools within ISideWith enable side-by-side comparison of candidate positions on selected issues. A voter can compare candidates' positions on abortion, climate, and healthcare in a single view. E07 extends this with vulnerability analysis, identifying where opponents' positions contradict themselves or district values.</w:t>
      </w:r>
    </w:p>
    <w:p>
      <w:pPr>
        <w:spacing w:after="200" w:line="360"/>
        <w:jc w:val="left"/>
      </w:pPr>
      <w:r>
        <w:t xml:space="preserve">Policy impact analysis within ISideWith estimates potential consequences of candidate policy positions. A candidate supporting carbon tax faces questions about economic impact; ISideWith surfaces these trade-offs. E07 integrates AI-powered impact analysis predicting district economic effects, employment impacts, and demographic winners and losers.</w:t>
      </w:r>
    </w:p>
    <w:p>
      <w:pPr>
        <w:spacing w:after="200" w:line="360"/>
        <w:jc w:val="left"/>
      </w:pPr>
      <w:r>
        <w:t xml:space="preserve">Public opinion tracking within ISideWith monitors how voter sentiment shifts over campaign cycles. A candidate whose issue positions misalign with voter shifts faces declining support. E07 integrates continuous public opinion tracking, alerting campaigns to sentiment changes and enabling rapid message adaptation.</w:t>
      </w:r>
    </w:p>
    <w:p>
      <w:pPr>
        <w:spacing w:before="400" w:after="200"/>
      </w:pPr>
      <w:r>
        <w:t xml:space="preserve">ISideWith-to-BroyhillGOP Feature Mapping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E5090" w:val="clear"/>
            <w:tcMar>
              <w:top w:type="dxa" w:w="100"/>
              <w:left w:type="dxa" w:w="100"/>
              <w:bottom w:type="dxa" w:w="100"/>
              <w:right w:type="dxa" w:w="100"/>
            </w:tcMar>
          </w:tcPr>
          <w:p>
            <w:r>
              <w:t xml:space="preserve">ISideWith Feature</w:t>
            </w:r>
          </w:p>
        </w:tc>
        <w:tc>
          <w:tcPr>
            <w:shd w:fill="2E5090" w:val="clear"/>
            <w:tcMar>
              <w:top w:type="dxa" w:w="100"/>
              <w:left w:type="dxa" w:w="100"/>
              <w:bottom w:type="dxa" w:w="100"/>
              <w:right w:type="dxa" w:w="100"/>
            </w:tcMar>
          </w:tcPr>
          <w:p>
            <w:r>
              <w:t xml:space="preserve">BroyhillGOP E07 Module</w:t>
            </w:r>
          </w:p>
        </w:tc>
        <w:tc>
          <w:tcPr>
            <w:shd w:fill="2E5090" w:val="clear"/>
            <w:tcMar>
              <w:top w:type="dxa" w:w="100"/>
              <w:left w:type="dxa" w:w="100"/>
              <w:bottom w:type="dxa" w:w="100"/>
              <w:right w:type="dxa" w:w="100"/>
            </w:tcMar>
          </w:tcPr>
          <w:p>
            <w:r>
              <w:t xml:space="preserve">Enhancement</w:t>
            </w:r>
          </w:p>
        </w:tc>
      </w:tr>
      <w:tr>
        <w:tc>
          <w:tcPr>
            <w:shd w:fill="F0F0F0" w:val="clear"/>
            <w:tcMar>
              <w:top w:type="dxa" w:w="100"/>
              <w:left w:type="dxa" w:w="100"/>
              <w:bottom w:type="dxa" w:w="100"/>
              <w:right w:type="dxa" w:w="100"/>
            </w:tcMar>
          </w:tcPr>
          <w:p>
            <w:r>
              <w:t xml:space="preserve">Political Issue Database</w:t>
            </w:r>
          </w:p>
        </w:tc>
        <w:tc>
          <w:tcPr>
            <w:shd w:fill="F0F0F0" w:val="clear"/>
            <w:tcMar>
              <w:top w:type="dxa" w:w="100"/>
              <w:left w:type="dxa" w:w="100"/>
              <w:bottom w:type="dxa" w:w="100"/>
              <w:right w:type="dxa" w:w="100"/>
            </w:tcMar>
          </w:tcPr>
          <w:p>
            <w:r>
              <w:t xml:space="preserve">Issue Repository</w:t>
            </w:r>
          </w:p>
        </w:tc>
        <w:tc>
          <w:tcPr>
            <w:shd w:fill="F0F0F0" w:val="clear"/>
            <w:tcMar>
              <w:top w:type="dxa" w:w="100"/>
              <w:left w:type="dxa" w:w="100"/>
              <w:bottom w:type="dxa" w:w="100"/>
              <w:right w:type="dxa" w:w="100"/>
            </w:tcMar>
          </w:tcPr>
          <w:p>
            <w:r>
              <w:t xml:space="preserve">District-specific issue prioritization</w:t>
            </w:r>
          </w:p>
        </w:tc>
      </w:tr>
      <w:tr>
        <w:tc>
          <w:tcPr>
            <w:shd w:fill="F0F0F0" w:val="clear"/>
            <w:tcMar>
              <w:top w:type="dxa" w:w="100"/>
              <w:left w:type="dxa" w:w="100"/>
              <w:bottom w:type="dxa" w:w="100"/>
              <w:right w:type="dxa" w:w="100"/>
            </w:tcMar>
          </w:tcPr>
          <w:p>
            <w:r>
              <w:t xml:space="preserve">Candidate Position Matching</w:t>
            </w:r>
          </w:p>
        </w:tc>
        <w:tc>
          <w:tcPr>
            <w:shd w:fill="F0F0F0" w:val="clear"/>
            <w:tcMar>
              <w:top w:type="dxa" w:w="100"/>
              <w:left w:type="dxa" w:w="100"/>
              <w:bottom w:type="dxa" w:w="100"/>
              <w:right w:type="dxa" w:w="100"/>
            </w:tcMar>
          </w:tcPr>
          <w:p>
            <w:r>
              <w:t xml:space="preserve">Candidate Issue Positions</w:t>
            </w:r>
          </w:p>
        </w:tc>
        <w:tc>
          <w:tcPr>
            <w:shd w:fill="F0F0F0" w:val="clear"/>
            <w:tcMar>
              <w:top w:type="dxa" w:w="100"/>
              <w:left w:type="dxa" w:w="100"/>
              <w:bottom w:type="dxa" w:w="100"/>
              <w:right w:type="dxa" w:w="100"/>
            </w:tcMar>
          </w:tcPr>
          <w:p>
            <w:r>
              <w:t xml:space="preserve">Multi-candidate comparison</w:t>
            </w:r>
          </w:p>
        </w:tc>
      </w:tr>
      <w:tr>
        <w:tc>
          <w:tcPr>
            <w:shd w:fill="F0F0F0" w:val="clear"/>
            <w:tcMar>
              <w:top w:type="dxa" w:w="100"/>
              <w:left w:type="dxa" w:w="100"/>
              <w:bottom w:type="dxa" w:w="100"/>
              <w:right w:type="dxa" w:w="100"/>
            </w:tcMar>
          </w:tcPr>
          <w:p>
            <w:r>
              <w:t xml:space="preserve">Voter Quiz System</w:t>
            </w:r>
          </w:p>
        </w:tc>
        <w:tc>
          <w:tcPr>
            <w:shd w:fill="F0F0F0" w:val="clear"/>
            <w:tcMar>
              <w:top w:type="dxa" w:w="100"/>
              <w:left w:type="dxa" w:w="100"/>
              <w:bottom w:type="dxa" w:w="100"/>
              <w:right w:type="dxa" w:w="100"/>
            </w:tcMar>
          </w:tcPr>
          <w:p>
            <w:r>
              <w:t xml:space="preserve">District Polling Integration</w:t>
            </w:r>
          </w:p>
        </w:tc>
        <w:tc>
          <w:tcPr>
            <w:shd w:fill="F0F0F0" w:val="clear"/>
            <w:tcMar>
              <w:top w:type="dxa" w:w="100"/>
              <w:left w:type="dxa" w:w="100"/>
              <w:bottom w:type="dxa" w:w="100"/>
              <w:right w:type="dxa" w:w="100"/>
            </w:tcMar>
          </w:tcPr>
          <w:p>
            <w:r>
              <w:t xml:space="preserve">Real-time voter feedback</w:t>
            </w:r>
          </w:p>
        </w:tc>
      </w:tr>
      <w:tr>
        <w:tc>
          <w:tcPr>
            <w:shd w:fill="F0F0F0" w:val="clear"/>
            <w:tcMar>
              <w:top w:type="dxa" w:w="100"/>
              <w:left w:type="dxa" w:w="100"/>
              <w:bottom w:type="dxa" w:w="100"/>
              <w:right w:type="dxa" w:w="100"/>
            </w:tcMar>
          </w:tcPr>
          <w:p>
            <w:r>
              <w:t xml:space="preserve">Issue Categories (8 domains)</w:t>
            </w:r>
          </w:p>
        </w:tc>
        <w:tc>
          <w:tcPr>
            <w:shd w:fill="F0F0F0" w:val="clear"/>
            <w:tcMar>
              <w:top w:type="dxa" w:w="100"/>
              <w:left w:type="dxa" w:w="100"/>
              <w:bottom w:type="dxa" w:w="100"/>
              <w:right w:type="dxa" w:w="100"/>
            </w:tcMar>
          </w:tcPr>
          <w:p>
            <w:r>
              <w:t xml:space="preserve">Issue Categories</w:t>
            </w:r>
          </w:p>
        </w:tc>
        <w:tc>
          <w:tcPr>
            <w:shd w:fill="F0F0F0" w:val="clear"/>
            <w:tcMar>
              <w:top w:type="dxa" w:w="100"/>
              <w:left w:type="dxa" w:w="100"/>
              <w:bottom w:type="dxa" w:w="100"/>
              <w:right w:type="dxa" w:w="100"/>
            </w:tcMar>
          </w:tcPr>
          <w:p>
            <w:r>
              <w:t xml:space="preserve">Extended to 12 domain framework</w:t>
            </w:r>
          </w:p>
        </w:tc>
      </w:tr>
      <w:tr>
        <w:tc>
          <w:tcPr>
            <w:shd w:fill="F0F0F0" w:val="clear"/>
            <w:tcMar>
              <w:top w:type="dxa" w:w="100"/>
              <w:left w:type="dxa" w:w="100"/>
              <w:bottom w:type="dxa" w:w="100"/>
              <w:right w:type="dxa" w:w="100"/>
            </w:tcMar>
          </w:tcPr>
          <w:p>
            <w:r>
              <w:t xml:space="preserve">Position Statements</w:t>
            </w:r>
          </w:p>
        </w:tc>
        <w:tc>
          <w:tcPr>
            <w:shd w:fill="F0F0F0" w:val="clear"/>
            <w:tcMar>
              <w:top w:type="dxa" w:w="100"/>
              <w:left w:type="dxa" w:w="100"/>
              <w:bottom w:type="dxa" w:w="100"/>
              <w:right w:type="dxa" w:w="100"/>
            </w:tcMar>
          </w:tcPr>
          <w:p>
            <w:r>
              <w:t xml:space="preserve">Bill Position Statements</w:t>
            </w:r>
          </w:p>
        </w:tc>
        <w:tc>
          <w:tcPr>
            <w:shd w:fill="F0F0F0" w:val="clear"/>
            <w:tcMar>
              <w:top w:type="dxa" w:w="100"/>
              <w:left w:type="dxa" w:w="100"/>
              <w:bottom w:type="dxa" w:w="100"/>
              <w:right w:type="dxa" w:w="100"/>
            </w:tcMar>
          </w:tcPr>
          <w:p>
            <w:r>
              <w:t xml:space="preserve">Automated consistency checking</w:t>
            </w:r>
          </w:p>
        </w:tc>
      </w:tr>
      <w:tr>
        <w:tc>
          <w:tcPr>
            <w:shd w:fill="F0F0F0" w:val="clear"/>
            <w:tcMar>
              <w:top w:type="dxa" w:w="100"/>
              <w:left w:type="dxa" w:w="100"/>
              <w:bottom w:type="dxa" w:w="100"/>
              <w:right w:type="dxa" w:w="100"/>
            </w:tcMar>
          </w:tcPr>
          <w:p>
            <w:r>
              <w:t xml:space="preserve">Voting Record Tracking</w:t>
            </w:r>
          </w:p>
        </w:tc>
        <w:tc>
          <w:tcPr>
            <w:shd w:fill="F0F0F0" w:val="clear"/>
            <w:tcMar>
              <w:top w:type="dxa" w:w="100"/>
              <w:left w:type="dxa" w:w="100"/>
              <w:bottom w:type="dxa" w:w="100"/>
              <w:right w:type="dxa" w:w="100"/>
            </w:tcMar>
          </w:tcPr>
          <w:p>
            <w:r>
              <w:t xml:space="preserve">Legislative Tracker</w:t>
            </w:r>
          </w:p>
        </w:tc>
        <w:tc>
          <w:tcPr>
            <w:shd w:fill="F0F0F0" w:val="clear"/>
            <w:tcMar>
              <w:top w:type="dxa" w:w="100"/>
              <w:left w:type="dxa" w:w="100"/>
              <w:bottom w:type="dxa" w:w="100"/>
              <w:right w:type="dxa" w:w="100"/>
            </w:tcMar>
          </w:tcPr>
          <w:p>
            <w:r>
              <w:t xml:space="preserve">AI-powered impact forecasting</w:t>
            </w:r>
          </w:p>
        </w:tc>
      </w:tr>
      <w:tr>
        <w:tc>
          <w:tcPr>
            <w:shd w:fill="F0F0F0" w:val="clear"/>
            <w:tcMar>
              <w:top w:type="dxa" w:w="100"/>
              <w:left w:type="dxa" w:w="100"/>
              <w:bottom w:type="dxa" w:w="100"/>
              <w:right w:type="dxa" w:w="100"/>
            </w:tcMar>
          </w:tcPr>
          <w:p>
            <w:r>
              <w:t xml:space="preserve">Bill Tracking</w:t>
            </w:r>
          </w:p>
        </w:tc>
        <w:tc>
          <w:tcPr>
            <w:shd w:fill="F0F0F0" w:val="clear"/>
            <w:tcMar>
              <w:top w:type="dxa" w:w="100"/>
              <w:left w:type="dxa" w:w="100"/>
              <w:bottom w:type="dxa" w:w="100"/>
              <w:right w:type="dxa" w:w="100"/>
            </w:tcMar>
          </w:tcPr>
          <w:p>
            <w:r>
              <w:t xml:space="preserve">Bill Tracker</w:t>
            </w:r>
          </w:p>
        </w:tc>
        <w:tc>
          <w:tcPr>
            <w:shd w:fill="F0F0F0" w:val="clear"/>
            <w:tcMar>
              <w:top w:type="dxa" w:w="100"/>
              <w:left w:type="dxa" w:w="100"/>
              <w:bottom w:type="dxa" w:w="100"/>
              <w:right w:type="dxa" w:w="100"/>
            </w:tcMar>
          </w:tcPr>
          <w:p>
            <w:r>
              <w:t xml:space="preserve">District constituent impact analysis</w:t>
            </w:r>
          </w:p>
        </w:tc>
      </w:tr>
      <w:tr>
        <w:tc>
          <w:tcPr>
            <w:shd w:fill="F0F0F0" w:val="clear"/>
            <w:tcMar>
              <w:top w:type="dxa" w:w="100"/>
              <w:left w:type="dxa" w:w="100"/>
              <w:bottom w:type="dxa" w:w="100"/>
              <w:right w:type="dxa" w:w="100"/>
            </w:tcMar>
          </w:tcPr>
          <w:p>
            <w:r>
              <w:t xml:space="preserve">Legislative Scoring</w:t>
            </w:r>
          </w:p>
        </w:tc>
        <w:tc>
          <w:tcPr>
            <w:shd w:fill="F0F0F0" w:val="clear"/>
            <w:tcMar>
              <w:top w:type="dxa" w:w="100"/>
              <w:left w:type="dxa" w:w="100"/>
              <w:bottom w:type="dxa" w:w="100"/>
              <w:right w:type="dxa" w:w="100"/>
            </w:tcMar>
          </w:tcPr>
          <w:p>
            <w:r>
              <w:t xml:space="preserve">Issue Scorecard</w:t>
            </w:r>
          </w:p>
        </w:tc>
        <w:tc>
          <w:tcPr>
            <w:shd w:fill="F0F0F0" w:val="clear"/>
            <w:tcMar>
              <w:top w:type="dxa" w:w="100"/>
              <w:left w:type="dxa" w:w="100"/>
              <w:bottom w:type="dxa" w:w="100"/>
              <w:right w:type="dxa" w:w="100"/>
            </w:tcMar>
          </w:tcPr>
          <w:p>
            <w:r>
              <w:t xml:space="preserve">Dynamic score recomputation</w:t>
            </w:r>
          </w:p>
        </w:tc>
      </w:tr>
      <w:tr>
        <w:tc>
          <w:tcPr>
            <w:shd w:fill="F0F0F0" w:val="clear"/>
            <w:tcMar>
              <w:top w:type="dxa" w:w="100"/>
              <w:left w:type="dxa" w:w="100"/>
              <w:bottom w:type="dxa" w:w="100"/>
              <w:right w:type="dxa" w:w="100"/>
            </w:tcMar>
          </w:tcPr>
          <w:p>
            <w:r>
              <w:t xml:space="preserve">Issue Polling</w:t>
            </w:r>
          </w:p>
        </w:tc>
        <w:tc>
          <w:tcPr>
            <w:shd w:fill="F0F0F0" w:val="clear"/>
            <w:tcMar>
              <w:top w:type="dxa" w:w="100"/>
              <w:left w:type="dxa" w:w="100"/>
              <w:bottom w:type="dxa" w:w="100"/>
              <w:right w:type="dxa" w:w="100"/>
            </w:tcMar>
          </w:tcPr>
          <w:p>
            <w:r>
              <w:t xml:space="preserve">District Polling Integration</w:t>
            </w:r>
          </w:p>
        </w:tc>
        <w:tc>
          <w:tcPr>
            <w:shd w:fill="F0F0F0" w:val="clear"/>
            <w:tcMar>
              <w:top w:type="dxa" w:w="100"/>
              <w:left w:type="dxa" w:w="100"/>
              <w:bottom w:type="dxa" w:w="100"/>
              <w:right w:type="dxa" w:w="100"/>
            </w:tcMar>
          </w:tcPr>
          <w:p>
            <w:r>
              <w:t xml:space="preserve">Demographic and temporal analysis</w:t>
            </w:r>
          </w:p>
        </w:tc>
      </w:tr>
      <w:tr>
        <w:tc>
          <w:tcPr>
            <w:shd w:fill="F0F0F0" w:val="clear"/>
            <w:tcMar>
              <w:top w:type="dxa" w:w="100"/>
              <w:left w:type="dxa" w:w="100"/>
              <w:bottom w:type="dxa" w:w="100"/>
              <w:right w:type="dxa" w:w="100"/>
            </w:tcMar>
          </w:tcPr>
          <w:p>
            <w:r>
              <w:t xml:space="preserve">Voter Alignment Scoring</w:t>
            </w:r>
          </w:p>
        </w:tc>
        <w:tc>
          <w:tcPr>
            <w:shd w:fill="F0F0F0" w:val="clear"/>
            <w:tcMar>
              <w:top w:type="dxa" w:w="100"/>
              <w:left w:type="dxa" w:w="100"/>
              <w:bottom w:type="dxa" w:w="100"/>
              <w:right w:type="dxa" w:w="100"/>
            </w:tcMar>
          </w:tcPr>
          <w:p>
            <w:r>
              <w:t xml:space="preserve">Voter-Candidate Alignment Scoring</w:t>
            </w:r>
          </w:p>
        </w:tc>
        <w:tc>
          <w:tcPr>
            <w:shd w:fill="F0F0F0" w:val="clear"/>
            <w:tcMar>
              <w:top w:type="dxa" w:w="100"/>
              <w:left w:type="dxa" w:w="100"/>
              <w:bottom w:type="dxa" w:w="100"/>
              <w:right w:type="dxa" w:w="100"/>
            </w:tcMar>
          </w:tcPr>
          <w:p>
            <w:r>
              <w:t xml:space="preserve">Segment-level personalization</w:t>
            </w:r>
          </w:p>
        </w:tc>
      </w:tr>
      <w:tr>
        <w:tc>
          <w:tcPr>
            <w:shd w:fill="F0F0F0" w:val="clear"/>
            <w:tcMar>
              <w:top w:type="dxa" w:w="100"/>
              <w:left w:type="dxa" w:w="100"/>
              <w:bottom w:type="dxa" w:w="100"/>
              <w:right w:type="dxa" w:w="100"/>
            </w:tcMar>
          </w:tcPr>
          <w:p>
            <w:r>
              <w:t xml:space="preserve">District Analysis</w:t>
            </w:r>
          </w:p>
        </w:tc>
        <w:tc>
          <w:tcPr>
            <w:shd w:fill="F0F0F0" w:val="clear"/>
            <w:tcMar>
              <w:top w:type="dxa" w:w="100"/>
              <w:left w:type="dxa" w:w="100"/>
              <w:bottom w:type="dxa" w:w="100"/>
              <w:right w:type="dxa" w:w="100"/>
            </w:tcMar>
          </w:tcPr>
          <w:p>
            <w:r>
              <w:t xml:space="preserve">District Analysis</w:t>
            </w:r>
          </w:p>
        </w:tc>
        <w:tc>
          <w:tcPr>
            <w:shd w:fill="F0F0F0" w:val="clear"/>
            <w:tcMar>
              <w:top w:type="dxa" w:w="100"/>
              <w:left w:type="dxa" w:w="100"/>
              <w:bottom w:type="dxa" w:w="100"/>
              <w:right w:type="dxa" w:w="100"/>
            </w:tcMar>
          </w:tcPr>
          <w:p>
            <w:r>
              <w:t xml:space="preserve">Geographic heat mapping</w:t>
            </w:r>
          </w:p>
        </w:tc>
      </w:tr>
      <w:tr>
        <w:tc>
          <w:tcPr>
            <w:shd w:fill="F0F0F0" w:val="clear"/>
            <w:tcMar>
              <w:top w:type="dxa" w:w="100"/>
              <w:left w:type="dxa" w:w="100"/>
              <w:bottom w:type="dxa" w:w="100"/>
              <w:right w:type="dxa" w:w="100"/>
            </w:tcMar>
          </w:tcPr>
          <w:p>
            <w:r>
              <w:t xml:space="preserve">Trending Issues</w:t>
            </w:r>
          </w:p>
        </w:tc>
        <w:tc>
          <w:tcPr>
            <w:shd w:fill="F0F0F0" w:val="clear"/>
            <w:tcMar>
              <w:top w:type="dxa" w:w="100"/>
              <w:left w:type="dxa" w:w="100"/>
              <w:bottom w:type="dxa" w:w="100"/>
              <w:right w:type="dxa" w:w="100"/>
            </w:tcMar>
          </w:tcPr>
          <w:p>
            <w:r>
              <w:t xml:space="preserve">Issue Alerts</w:t>
            </w:r>
          </w:p>
        </w:tc>
        <w:tc>
          <w:tcPr>
            <w:shd w:fill="F0F0F0" w:val="clear"/>
            <w:tcMar>
              <w:top w:type="dxa" w:w="100"/>
              <w:left w:type="dxa" w:w="100"/>
              <w:bottom w:type="dxa" w:w="100"/>
              <w:right w:type="dxa" w:w="100"/>
            </w:tcMar>
          </w:tcPr>
          <w:p>
            <w:r>
              <w:t xml:space="preserve">AI-powered trend prediction</w:t>
            </w:r>
          </w:p>
        </w:tc>
      </w:tr>
      <w:tr>
        <w:tc>
          <w:tcPr>
            <w:shd w:fill="F0F0F0" w:val="clear"/>
            <w:tcMar>
              <w:top w:type="dxa" w:w="100"/>
              <w:left w:type="dxa" w:w="100"/>
              <w:bottom w:type="dxa" w:w="100"/>
              <w:right w:type="dxa" w:w="100"/>
            </w:tcMar>
          </w:tcPr>
          <w:p>
            <w:r>
              <w:t xml:space="preserve">Issue Comparison</w:t>
            </w:r>
          </w:p>
        </w:tc>
        <w:tc>
          <w:tcPr>
            <w:shd w:fill="F0F0F0" w:val="clear"/>
            <w:tcMar>
              <w:top w:type="dxa" w:w="100"/>
              <w:left w:type="dxa" w:w="100"/>
              <w:bottom w:type="dxa" w:w="100"/>
              <w:right w:type="dxa" w:w="100"/>
            </w:tcMar>
          </w:tcPr>
          <w:p>
            <w:r>
              <w:t xml:space="preserve">Opponent Position Comparison</w:t>
            </w:r>
          </w:p>
        </w:tc>
        <w:tc>
          <w:tcPr>
            <w:shd w:fill="F0F0F0" w:val="clear"/>
            <w:tcMar>
              <w:top w:type="dxa" w:w="100"/>
              <w:left w:type="dxa" w:w="100"/>
              <w:bottom w:type="dxa" w:w="100"/>
              <w:right w:type="dxa" w:w="100"/>
            </w:tcMar>
          </w:tcPr>
          <w:p>
            <w:r>
              <w:t xml:space="preserve">Vulnerability analysis</w:t>
            </w:r>
          </w:p>
        </w:tc>
      </w:tr>
      <w:tr>
        <w:tc>
          <w:tcPr>
            <w:shd w:fill="F0F0F0" w:val="clear"/>
            <w:tcMar>
              <w:top w:type="dxa" w:w="100"/>
              <w:left w:type="dxa" w:w="100"/>
              <w:bottom w:type="dxa" w:w="100"/>
              <w:right w:type="dxa" w:w="100"/>
            </w:tcMar>
          </w:tcPr>
          <w:p>
            <w:r>
              <w:t xml:space="preserve">Policy Impact Analysis</w:t>
            </w:r>
          </w:p>
        </w:tc>
        <w:tc>
          <w:tcPr>
            <w:shd w:fill="F0F0F0" w:val="clear"/>
            <w:tcMar>
              <w:top w:type="dxa" w:w="100"/>
              <w:left w:type="dxa" w:w="100"/>
              <w:bottom w:type="dxa" w:w="100"/>
              <w:right w:type="dxa" w:w="100"/>
            </w:tcMar>
          </w:tcPr>
          <w:p>
            <w:r>
              <w:t xml:space="preserve">Policy Impact Analysis</w:t>
            </w:r>
          </w:p>
        </w:tc>
        <w:tc>
          <w:tcPr>
            <w:shd w:fill="F0F0F0" w:val="clear"/>
            <w:tcMar>
              <w:top w:type="dxa" w:w="100"/>
              <w:left w:type="dxa" w:w="100"/>
              <w:bottom w:type="dxa" w:w="100"/>
              <w:right w:type="dxa" w:w="100"/>
            </w:tcMar>
          </w:tcPr>
          <w:p>
            <w:r>
              <w:t xml:space="preserve">District economic modeling</w:t>
            </w:r>
          </w:p>
        </w:tc>
      </w:tr>
      <w:tr>
        <w:tc>
          <w:tcPr>
            <w:shd w:fill="F0F0F0" w:val="clear"/>
            <w:tcMar>
              <w:top w:type="dxa" w:w="100"/>
              <w:left w:type="dxa" w:w="100"/>
              <w:bottom w:type="dxa" w:w="100"/>
              <w:right w:type="dxa" w:w="100"/>
            </w:tcMar>
          </w:tcPr>
          <w:p>
            <w:r>
              <w:t xml:space="preserve">Public Opinion Tracking</w:t>
            </w:r>
          </w:p>
        </w:tc>
        <w:tc>
          <w:tcPr>
            <w:shd w:fill="F0F0F0" w:val="clear"/>
            <w:tcMar>
              <w:top w:type="dxa" w:w="100"/>
              <w:left w:type="dxa" w:w="100"/>
              <w:bottom w:type="dxa" w:w="100"/>
              <w:right w:type="dxa" w:w="100"/>
            </w:tcMar>
          </w:tcPr>
          <w:p>
            <w:r>
              <w:t xml:space="preserve">Public Opinion Tracking</w:t>
            </w:r>
          </w:p>
        </w:tc>
        <w:tc>
          <w:tcPr>
            <w:shd w:fill="F0F0F0" w:val="clear"/>
            <w:tcMar>
              <w:top w:type="dxa" w:w="100"/>
              <w:left w:type="dxa" w:w="100"/>
              <w:bottom w:type="dxa" w:w="100"/>
              <w:right w:type="dxa" w:w="100"/>
            </w:tcMar>
          </w:tcPr>
          <w:p>
            <w:r>
              <w:t xml:space="preserve">Real-time sentiment monitoring</w:t>
            </w:r>
          </w:p>
        </w:tc>
      </w:tr>
    </w:tbl>
    <w:p>
      <w:pPr>
        <w:spacing w:after="400"/>
      </w:pPr>
    </w:p>
    <w:p>
      <w:pPr>
        <w:spacing w:after="200" w:line="360"/>
        <w:jc w:val="left"/>
      </w:pPr>
      <w:r>
        <w:t xml:space="preserve">The feature mapping demonstrates complete architectural alignment between ISideWith's proven platform and E07's campaign-specific implementation. Every ISideWith feature is preserved, enhanced with campaign intelligence, and integrated into the unified command center interface.</w:t>
      </w:r>
    </w:p>
    <w:p>
      <w:pPr>
        <w:pBdr>
          <w:bottom w:val="single" w:color="auto" w:sz="6" w:space="1"/>
        </w:pBdr>
        <w:spacing w:before="400" w:after="200"/>
      </w:pPr>
      <w:r>
        <w:t xml:space="preserve">SECTION 2: USER JOURNEY</w:t>
      </w:r>
    </w:p>
    <w:p>
      <w:pPr>
        <w:spacing w:after="200" w:line="360"/>
        <w:jc w:val="left"/>
      </w:pPr>
      <w:r>
        <w:t xml:space="preserve">The E07 user journey is optimized for rapid issue analysis and decision-making within campaign contexts. A campaign manager or candidate initiates the journey by opening the E07 dashboard, which immediately displays the district's top 10 issues ranked by voter priority. This prioritized issue list is derived from aggregated voter survey data, social media analysis, and historical campaign performance metrics.</w:t>
      </w:r>
    </w:p>
    <w:p>
      <w:pPr>
        <w:spacing w:after="200" w:line="360"/>
        <w:jc w:val="left"/>
      </w:pPr>
      <w:r>
        <w:t xml:space="preserve">Upon dashboard load, the system processes three data streams: (1) voter priority rankings from recent district polling, (2) trending issues identified through social media and news analysis, and (3) pending legislation that impacts district constituents. The top 10 issues emerge from this processing, weighted by issue salience, recency, and campaign relevance.</w:t>
      </w:r>
    </w:p>
    <w:p>
      <w:pPr>
        <w:spacing w:after="200" w:line="360"/>
        <w:jc w:val="left"/>
      </w:pPr>
      <w:r>
        <w:t xml:space="preserve">For each displayed issue, the interface presents four critical data points: candidate position, opponent position, voter alignment percentage, and AI-recommended messaging. The candidate position is sourced from the Position Statement Editor or automatically categorized from voting records. The opponent position is extracted from public statements and legislative votes. Voter alignment percentage indicates what proportion of district voters agree with the candidate position.</w:t>
      </w:r>
    </w:p>
    <w:p>
      <w:pPr>
        <w:spacing w:after="200" w:line="360"/>
        <w:jc w:val="left"/>
      </w:pPr>
      <w:r>
        <w:t xml:space="preserve">AI-recommended messaging is generated by the E20 Brain module, analyzing voter segments, issue framing effectiveness, and narrative context. The recommendation might suggest: "Frame this as protecting district jobs" or "Emphasize constituent choice and freedom." These recommendations are based on previous campaign performance data and voter response patterns.</w:t>
      </w:r>
    </w:p>
    <w:p>
      <w:pPr>
        <w:spacing w:after="200" w:line="360"/>
        <w:jc w:val="left"/>
      </w:pPr>
      <w:r>
        <w:t xml:space="preserve">When a candidate or manager clicks on any issue in the top 10 list, the interface expands to show full issue analysis. This full view includes: position statement (200-300 words), supporting evidence (voting record, bill sponsorships, public statements), district voter breakdown (% support by demographic), national voter sentiment, trending trajectory (ascending or descending in priority), related legislation, and opponent vulnerability analysis.</w:t>
      </w:r>
    </w:p>
    <w:p>
      <w:pPr>
        <w:spacing w:after="200" w:line="360"/>
        <w:jc w:val="left"/>
      </w:pPr>
      <w:r>
        <w:t xml:space="preserve">The communication templates section provides pre-built messaging frameworks for each issue. A candidate can select a template, customize it with district-specific details, and deploy across channels. Templates exist for newsletter articles, social media posts, email communications, speech talking points, and press releases. Each template is organized by tone (direct, empathetic, comparative) and audience (core supporters, persuadable voters, opposition).</w:t>
      </w:r>
    </w:p>
    <w:p>
      <w:pPr>
        <w:spacing w:after="200" w:line="360"/>
        <w:jc w:val="left"/>
      </w:pPr>
      <w:r>
        <w:t xml:space="preserve">The user journey's second phase involves the candidate reviewing opponent positions on the same issues. The Opponent Position Comparison module surfaces where opponents' positions create vulnerability or opportunity. For instance, if an opponent supports a position unpopular in the district, this creates messaging opportunity; if an opponent changes positions frequently, this creates inconsistency attack points.</w:t>
      </w:r>
    </w:p>
    <w:p>
      <w:pPr>
        <w:spacing w:after="200" w:line="360"/>
        <w:jc w:val="left"/>
      </w:pPr>
      <w:r>
        <w:t xml:space="preserve">The third journey phase is communication deployment. The candidate selects an issue, chooses a communication template, customizes the message for district context, and activates deployment across selected channels. The system tracks engagement metrics (opens, clicks, shares) for each message, feeding back into E20 for continuous optimization.</w:t>
      </w:r>
    </w:p>
    <w:p>
      <w:pPr>
        <w:spacing w:after="200" w:line="360"/>
        <w:jc w:val="left"/>
      </w:pPr>
      <w:r>
        <w:t xml:space="preserve">Integration with the Campaign Chief AI completes the journey by providing real-time strategic guidance. Campaign Chief monitors issue salience changes, alerts candidates to emerging issues requiring immediate response, and recommends shifts in campaign focus based on voter engagement data.</w:t>
      </w:r>
    </w:p>
    <w:p>
      <w:pPr>
        <w:spacing w:after="200" w:line="360"/>
        <w:jc w:val="left"/>
      </w:pPr>
      <w:r>
        <w:t xml:space="preserve">Throughout the journey, the interface maintains white/dark mode toggle, enabling campaign teams to work in preferred lighting conditions. Mobile responsiveness ensures candidate access during events and traveling. Offline capability allows dashboard caching for areas with limited connectivity.</w:t>
      </w:r>
    </w:p>
    <w:p>
      <w:pPr>
        <w:spacing w:after="200" w:line="360"/>
        <w:jc w:val="left"/>
      </w:pPr>
      <w:r>
        <w:t xml:space="preserve">The entire journey from dashboard load to communication deployment averages 8-12 minutes for experienced users, enabling rapid response to emerging issues and real-time campaign optimization.</w:t>
      </w:r>
    </w:p>
    <w:p>
      <w:pPr>
        <w:pBdr>
          <w:bottom w:val="single" w:color="auto" w:sz="6" w:space="1"/>
        </w:pBdr>
        <w:spacing w:before="400" w:after="200"/>
      </w:pPr>
      <w:r>
        <w:t xml:space="preserve">SECTION 3: COMMAND CENTER (WHITE/DARK MODE)</w:t>
      </w:r>
    </w:p>
    <w:p>
      <w:pPr>
        <w:spacing w:before="400" w:after="200"/>
      </w:pPr>
      <w:r>
        <w:t xml:space="preserve">Issue Dashboard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2E5090" w:val="clear"/>
            <w:tcMar>
              <w:top w:type="dxa" w:w="100"/>
              <w:left w:type="dxa" w:w="100"/>
              <w:bottom w:type="dxa" w:w="100"/>
              <w:right w:type="dxa" w:w="100"/>
            </w:tcMar>
          </w:tcPr>
          <w:p>
            <w:r>
              <w:t xml:space="preserve">Field Name</w:t>
            </w:r>
          </w:p>
        </w:tc>
        <w:tc>
          <w:tcPr>
            <w:shd w:fill="2E5090" w:val="clear"/>
            <w:tcMar>
              <w:top w:type="dxa" w:w="100"/>
              <w:left w:type="dxa" w:w="100"/>
              <w:bottom w:type="dxa" w:w="100"/>
              <w:right w:type="dxa" w:w="100"/>
            </w:tcMar>
          </w:tcPr>
          <w:p>
            <w:r>
              <w:t xml:space="preserve">Data Type</w:t>
            </w:r>
          </w:p>
        </w:tc>
        <w:tc>
          <w:tcPr>
            <w:shd w:fill="2E5090" w:val="clear"/>
            <w:tcMar>
              <w:top w:type="dxa" w:w="100"/>
              <w:left w:type="dxa" w:w="100"/>
              <w:bottom w:type="dxa" w:w="100"/>
              <w:right w:type="dxa" w:w="100"/>
            </w:tcMar>
          </w:tcPr>
          <w:p>
            <w:r>
              <w:t xml:space="preserve">Source</w:t>
            </w:r>
          </w:p>
        </w:tc>
        <w:tc>
          <w:tcPr>
            <w:shd w:fill="2E5090" w:val="clear"/>
            <w:tcMar>
              <w:top w:type="dxa" w:w="100"/>
              <w:left w:type="dxa" w:w="100"/>
              <w:bottom w:type="dxa" w:w="100"/>
              <w:right w:type="dxa" w:w="100"/>
            </w:tcMar>
          </w:tcPr>
          <w:p>
            <w:r>
              <w:t xml:space="preserve">Description</w:t>
            </w:r>
          </w:p>
        </w:tc>
      </w:tr>
      <w:tr>
        <w:tc>
          <w:tcPr>
            <w:shd w:fill="F0F0F0" w:val="clear"/>
            <w:tcMar>
              <w:top w:type="dxa" w:w="100"/>
              <w:left w:type="dxa" w:w="100"/>
              <w:bottom w:type="dxa" w:w="100"/>
              <w:right w:type="dxa" w:w="100"/>
            </w:tcMar>
          </w:tcPr>
          <w:p>
            <w:r>
              <w:t xml:space="preserve">Top Issues by District</w:t>
            </w:r>
          </w:p>
        </w:tc>
        <w:tc>
          <w:tcPr>
            <w:shd w:fill="F0F0F0" w:val="clear"/>
            <w:tcMar>
              <w:top w:type="dxa" w:w="100"/>
              <w:left w:type="dxa" w:w="100"/>
              <w:bottom w:type="dxa" w:w="100"/>
              <w:right w:type="dxa" w:w="100"/>
            </w:tcMar>
          </w:tcPr>
          <w:p>
            <w:r>
              <w:t xml:space="preserve">Dynamic List</w:t>
            </w:r>
          </w:p>
        </w:tc>
        <w:tc>
          <w:tcPr>
            <w:shd w:fill="F0F0F0" w:val="clear"/>
            <w:tcMar>
              <w:top w:type="dxa" w:w="100"/>
              <w:left w:type="dxa" w:w="100"/>
              <w:bottom w:type="dxa" w:w="100"/>
              <w:right w:type="dxa" w:w="100"/>
            </w:tcMar>
          </w:tcPr>
          <w:p>
            <w:r>
              <w:t xml:space="preserve">Voter polling + social media</w:t>
            </w:r>
          </w:p>
        </w:tc>
        <w:tc>
          <w:tcPr>
            <w:shd w:fill="F0F0F0" w:val="clear"/>
            <w:tcMar>
              <w:top w:type="dxa" w:w="100"/>
              <w:left w:type="dxa" w:w="100"/>
              <w:bottom w:type="dxa" w:w="100"/>
              <w:right w:type="dxa" w:w="100"/>
            </w:tcMar>
          </w:tcPr>
          <w:p>
            <w:r>
              <w:t xml:space="preserve">Ranked list of 10 priority issues for campaign district, updated daily</w:t>
            </w:r>
          </w:p>
        </w:tc>
      </w:tr>
      <w:tr>
        <w:tc>
          <w:tcPr>
            <w:shd w:fill="F0F0F0" w:val="clear"/>
            <w:tcMar>
              <w:top w:type="dxa" w:w="100"/>
              <w:left w:type="dxa" w:w="100"/>
              <w:bottom w:type="dxa" w:w="100"/>
              <w:right w:type="dxa" w:w="100"/>
            </w:tcMar>
          </w:tcPr>
          <w:p>
            <w:r>
              <w:t xml:space="preserve">Trending Issues</w:t>
            </w:r>
          </w:p>
        </w:tc>
        <w:tc>
          <w:tcPr>
            <w:shd w:fill="F0F0F0" w:val="clear"/>
            <w:tcMar>
              <w:top w:type="dxa" w:w="100"/>
              <w:left w:type="dxa" w:w="100"/>
              <w:bottom w:type="dxa" w:w="100"/>
              <w:right w:type="dxa" w:w="100"/>
            </w:tcMar>
          </w:tcPr>
          <w:p>
            <w:r>
              <w:t xml:space="preserve">Trend Tracker</w:t>
            </w:r>
          </w:p>
        </w:tc>
        <w:tc>
          <w:tcPr>
            <w:shd w:fill="F0F0F0" w:val="clear"/>
            <w:tcMar>
              <w:top w:type="dxa" w:w="100"/>
              <w:left w:type="dxa" w:w="100"/>
              <w:bottom w:type="dxa" w:w="100"/>
              <w:right w:type="dxa" w:w="100"/>
            </w:tcMar>
          </w:tcPr>
          <w:p>
            <w:r>
              <w:t xml:space="preserve">News + social analysis</w:t>
            </w:r>
          </w:p>
        </w:tc>
        <w:tc>
          <w:tcPr>
            <w:shd w:fill="F0F0F0" w:val="clear"/>
            <w:tcMar>
              <w:top w:type="dxa" w:w="100"/>
              <w:left w:type="dxa" w:w="100"/>
              <w:bottom w:type="dxa" w:w="100"/>
              <w:right w:type="dxa" w:w="100"/>
            </w:tcMar>
          </w:tcPr>
          <w:p>
            <w:r>
              <w:t xml:space="preserve">Issues gaining voter attention in real-time, with velocity metrics</w:t>
            </w:r>
          </w:p>
        </w:tc>
      </w:tr>
      <w:tr>
        <w:tc>
          <w:tcPr>
            <w:shd w:fill="F0F0F0" w:val="clear"/>
            <w:tcMar>
              <w:top w:type="dxa" w:w="100"/>
              <w:left w:type="dxa" w:w="100"/>
              <w:bottom w:type="dxa" w:w="100"/>
              <w:right w:type="dxa" w:w="100"/>
            </w:tcMar>
          </w:tcPr>
          <w:p>
            <w:r>
              <w:t xml:space="preserve">Issue Alerts</w:t>
            </w:r>
          </w:p>
        </w:tc>
        <w:tc>
          <w:tcPr>
            <w:shd w:fill="F0F0F0" w:val="clear"/>
            <w:tcMar>
              <w:top w:type="dxa" w:w="100"/>
              <w:left w:type="dxa" w:w="100"/>
              <w:bottom w:type="dxa" w:w="100"/>
              <w:right w:type="dxa" w:w="100"/>
            </w:tcMar>
          </w:tcPr>
          <w:p>
            <w:r>
              <w:t xml:space="preserve">Notification System</w:t>
            </w:r>
          </w:p>
        </w:tc>
        <w:tc>
          <w:tcPr>
            <w:shd w:fill="F0F0F0" w:val="clear"/>
            <w:tcMar>
              <w:top w:type="dxa" w:w="100"/>
              <w:left w:type="dxa" w:w="100"/>
              <w:bottom w:type="dxa" w:w="100"/>
              <w:right w:type="dxa" w:w="100"/>
            </w:tcMar>
          </w:tcPr>
          <w:p>
            <w:r>
              <w:t xml:space="preserve">Legislative + media triggers</w:t>
            </w:r>
          </w:p>
        </w:tc>
        <w:tc>
          <w:tcPr>
            <w:shd w:fill="F0F0F0" w:val="clear"/>
            <w:tcMar>
              <w:top w:type="dxa" w:w="100"/>
              <w:left w:type="dxa" w:w="100"/>
              <w:bottom w:type="dxa" w:w="100"/>
              <w:right w:type="dxa" w:w="100"/>
            </w:tcMar>
          </w:tcPr>
          <w:p>
            <w:r>
              <w:t xml:space="preserve">Alerts for new legislation, media mentions, or sentiment shifts on key issues</w:t>
            </w:r>
          </w:p>
        </w:tc>
      </w:tr>
      <w:tr>
        <w:tc>
          <w:tcPr>
            <w:shd w:fill="F0F0F0" w:val="clear"/>
            <w:tcMar>
              <w:top w:type="dxa" w:w="100"/>
              <w:left w:type="dxa" w:w="100"/>
              <w:bottom w:type="dxa" w:w="100"/>
              <w:right w:type="dxa" w:w="100"/>
            </w:tcMar>
          </w:tcPr>
          <w:p>
            <w:r>
              <w:t xml:space="preserve">New Legislation</w:t>
            </w:r>
          </w:p>
        </w:tc>
        <w:tc>
          <w:tcPr>
            <w:shd w:fill="F0F0F0" w:val="clear"/>
            <w:tcMar>
              <w:top w:type="dxa" w:w="100"/>
              <w:left w:type="dxa" w:w="100"/>
              <w:bottom w:type="dxa" w:w="100"/>
              <w:right w:type="dxa" w:w="100"/>
            </w:tcMar>
          </w:tcPr>
          <w:p>
            <w:r>
              <w:t xml:space="preserve">Bill Monitor</w:t>
            </w:r>
          </w:p>
        </w:tc>
        <w:tc>
          <w:tcPr>
            <w:shd w:fill="F0F0F0" w:val="clear"/>
            <w:tcMar>
              <w:top w:type="dxa" w:w="100"/>
              <w:left w:type="dxa" w:w="100"/>
              <w:bottom w:type="dxa" w:w="100"/>
              <w:right w:type="dxa" w:w="100"/>
            </w:tcMar>
          </w:tcPr>
          <w:p>
            <w:r>
              <w:t xml:space="preserve">Legislative database</w:t>
            </w:r>
          </w:p>
        </w:tc>
        <w:tc>
          <w:tcPr>
            <w:shd w:fill="F0F0F0" w:val="clear"/>
            <w:tcMar>
              <w:top w:type="dxa" w:w="100"/>
              <w:left w:type="dxa" w:w="100"/>
              <w:bottom w:type="dxa" w:w="100"/>
              <w:right w:type="dxa" w:w="100"/>
            </w:tcMar>
          </w:tcPr>
          <w:p>
            <w:r>
              <w:t xml:space="preserve">Pending and proposed bills tagged by issue, with district impact analysis</w:t>
            </w:r>
          </w:p>
        </w:tc>
      </w:tr>
    </w:tbl>
    <w:p>
      <w:pPr>
        <w:spacing w:after="400"/>
      </w:pPr>
    </w:p>
    <w:p>
      <w:pPr>
        <w:spacing w:after="200" w:line="360"/>
        <w:jc w:val="left"/>
      </w:pPr>
      <w:r>
        <w:t xml:space="preserve">The Issue Dashboard section consolidates all campaign resources for issue management, enabling campaign teams to move from data analysis to communication deployment within minutes.</w:t>
      </w:r>
    </w:p>
    <w:p>
      <w:pPr>
        <w:spacing w:before="400" w:after="200"/>
      </w:pPr>
      <w:r>
        <w:t xml:space="preserve">My Positions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2E5090" w:val="clear"/>
            <w:tcMar>
              <w:top w:type="dxa" w:w="100"/>
              <w:left w:type="dxa" w:w="100"/>
              <w:bottom w:type="dxa" w:w="100"/>
              <w:right w:type="dxa" w:w="100"/>
            </w:tcMar>
          </w:tcPr>
          <w:p>
            <w:r>
              <w:t xml:space="preserve">Field Name</w:t>
            </w:r>
          </w:p>
        </w:tc>
        <w:tc>
          <w:tcPr>
            <w:shd w:fill="2E5090" w:val="clear"/>
            <w:tcMar>
              <w:top w:type="dxa" w:w="100"/>
              <w:left w:type="dxa" w:w="100"/>
              <w:bottom w:type="dxa" w:w="100"/>
              <w:right w:type="dxa" w:w="100"/>
            </w:tcMar>
          </w:tcPr>
          <w:p>
            <w:r>
              <w:t xml:space="preserve">Data Type</w:t>
            </w:r>
          </w:p>
        </w:tc>
        <w:tc>
          <w:tcPr>
            <w:shd w:fill="2E5090" w:val="clear"/>
            <w:tcMar>
              <w:top w:type="dxa" w:w="100"/>
              <w:left w:type="dxa" w:w="100"/>
              <w:bottom w:type="dxa" w:w="100"/>
              <w:right w:type="dxa" w:w="100"/>
            </w:tcMar>
          </w:tcPr>
          <w:p>
            <w:r>
              <w:t xml:space="preserve">Source</w:t>
            </w:r>
          </w:p>
        </w:tc>
        <w:tc>
          <w:tcPr>
            <w:shd w:fill="2E5090" w:val="clear"/>
            <w:tcMar>
              <w:top w:type="dxa" w:w="100"/>
              <w:left w:type="dxa" w:w="100"/>
              <w:bottom w:type="dxa" w:w="100"/>
              <w:right w:type="dxa" w:w="100"/>
            </w:tcMar>
          </w:tcPr>
          <w:p>
            <w:r>
              <w:t xml:space="preserve">Description</w:t>
            </w:r>
          </w:p>
        </w:tc>
      </w:tr>
      <w:tr>
        <w:tc>
          <w:tcPr>
            <w:shd w:fill="F0F0F0" w:val="clear"/>
            <w:tcMar>
              <w:top w:type="dxa" w:w="100"/>
              <w:left w:type="dxa" w:w="100"/>
              <w:bottom w:type="dxa" w:w="100"/>
              <w:right w:type="dxa" w:w="100"/>
            </w:tcMar>
          </w:tcPr>
          <w:p>
            <w:r>
              <w:t xml:space="preserve">Position Statement Editor</w:t>
            </w:r>
          </w:p>
        </w:tc>
        <w:tc>
          <w:tcPr>
            <w:shd w:fill="F0F0F0" w:val="clear"/>
            <w:tcMar>
              <w:top w:type="dxa" w:w="100"/>
              <w:left w:type="dxa" w:w="100"/>
              <w:bottom w:type="dxa" w:w="100"/>
              <w:right w:type="dxa" w:w="100"/>
            </w:tcMar>
          </w:tcPr>
          <w:p>
            <w:r>
              <w:t xml:space="preserve">Text Editor</w:t>
            </w:r>
          </w:p>
        </w:tc>
        <w:tc>
          <w:tcPr>
            <w:shd w:fill="F0F0F0" w:val="clear"/>
            <w:tcMar>
              <w:top w:type="dxa" w:w="100"/>
              <w:left w:type="dxa" w:w="100"/>
              <w:bottom w:type="dxa" w:w="100"/>
              <w:right w:type="dxa" w:w="100"/>
            </w:tcMar>
          </w:tcPr>
          <w:p>
            <w:r>
              <w:t xml:space="preserve">Candidate input</w:t>
            </w:r>
          </w:p>
        </w:tc>
        <w:tc>
          <w:tcPr>
            <w:shd w:fill="F0F0F0" w:val="clear"/>
            <w:tcMar>
              <w:top w:type="dxa" w:w="100"/>
              <w:left w:type="dxa" w:w="100"/>
              <w:bottom w:type="dxa" w:w="100"/>
              <w:right w:type="dxa" w:w="100"/>
            </w:tcMar>
          </w:tcPr>
          <w:p>
            <w:r>
              <w:t xml:space="preserve">Author or edit position statements on each issue with consistency checking</w:t>
            </w:r>
          </w:p>
        </w:tc>
      </w:tr>
      <w:tr>
        <w:tc>
          <w:tcPr>
            <w:shd w:fill="F0F0F0" w:val="clear"/>
            <w:tcMar>
              <w:top w:type="dxa" w:w="100"/>
              <w:left w:type="dxa" w:w="100"/>
              <w:bottom w:type="dxa" w:w="100"/>
              <w:right w:type="dxa" w:w="100"/>
            </w:tcMar>
          </w:tcPr>
          <w:p>
            <w:r>
              <w:t xml:space="preserve">Voting Record</w:t>
            </w:r>
          </w:p>
        </w:tc>
        <w:tc>
          <w:tcPr>
            <w:shd w:fill="F0F0F0" w:val="clear"/>
            <w:tcMar>
              <w:top w:type="dxa" w:w="100"/>
              <w:left w:type="dxa" w:w="100"/>
              <w:bottom w:type="dxa" w:w="100"/>
              <w:right w:type="dxa" w:w="100"/>
            </w:tcMar>
          </w:tcPr>
          <w:p>
            <w:r>
              <w:t xml:space="preserve">Historical Log</w:t>
            </w:r>
          </w:p>
        </w:tc>
        <w:tc>
          <w:tcPr>
            <w:shd w:fill="F0F0F0" w:val="clear"/>
            <w:tcMar>
              <w:top w:type="dxa" w:w="100"/>
              <w:left w:type="dxa" w:w="100"/>
              <w:bottom w:type="dxa" w:w="100"/>
              <w:right w:type="dxa" w:w="100"/>
            </w:tcMar>
          </w:tcPr>
          <w:p>
            <w:r>
              <w:t xml:space="preserve">Legislative database</w:t>
            </w:r>
          </w:p>
        </w:tc>
        <w:tc>
          <w:tcPr>
            <w:shd w:fill="F0F0F0" w:val="clear"/>
            <w:tcMar>
              <w:top w:type="dxa" w:w="100"/>
              <w:left w:type="dxa" w:w="100"/>
              <w:bottom w:type="dxa" w:w="100"/>
              <w:right w:type="dxa" w:w="100"/>
            </w:tcMar>
          </w:tcPr>
          <w:p>
            <w:r>
              <w:t xml:space="preserve">Complete voting history automatically categorized by issue</w:t>
            </w:r>
          </w:p>
        </w:tc>
      </w:tr>
      <w:tr>
        <w:tc>
          <w:tcPr>
            <w:shd w:fill="F0F0F0" w:val="clear"/>
            <w:tcMar>
              <w:top w:type="dxa" w:w="100"/>
              <w:left w:type="dxa" w:w="100"/>
              <w:bottom w:type="dxa" w:w="100"/>
              <w:right w:type="dxa" w:w="100"/>
            </w:tcMar>
          </w:tcPr>
          <w:p>
            <w:r>
              <w:t xml:space="preserve">Bill Tracker</w:t>
            </w:r>
          </w:p>
        </w:tc>
        <w:tc>
          <w:tcPr>
            <w:shd w:fill="F0F0F0" w:val="clear"/>
            <w:tcMar>
              <w:top w:type="dxa" w:w="100"/>
              <w:left w:type="dxa" w:w="100"/>
              <w:bottom w:type="dxa" w:w="100"/>
              <w:right w:type="dxa" w:w="100"/>
            </w:tcMar>
          </w:tcPr>
          <w:p>
            <w:r>
              <w:t xml:space="preserve">Legislative Monitor</w:t>
            </w:r>
          </w:p>
        </w:tc>
        <w:tc>
          <w:tcPr>
            <w:shd w:fill="F0F0F0" w:val="clear"/>
            <w:tcMar>
              <w:top w:type="dxa" w:w="100"/>
              <w:left w:type="dxa" w:w="100"/>
              <w:bottom w:type="dxa" w:w="100"/>
              <w:right w:type="dxa" w:w="100"/>
            </w:tcMar>
          </w:tcPr>
          <w:p>
            <w:r>
              <w:t xml:space="preserve">Legislative votes</w:t>
            </w:r>
          </w:p>
        </w:tc>
        <w:tc>
          <w:tcPr>
            <w:shd w:fill="F0F0F0" w:val="clear"/>
            <w:tcMar>
              <w:top w:type="dxa" w:w="100"/>
              <w:left w:type="dxa" w:w="100"/>
              <w:bottom w:type="dxa" w:w="100"/>
              <w:right w:type="dxa" w:w="100"/>
            </w:tcMar>
          </w:tcPr>
          <w:p>
            <w:r>
              <w:t xml:space="preserve">Pending bills relevant to candidate positions, with voting recommendations</w:t>
            </w:r>
          </w:p>
        </w:tc>
      </w:tr>
      <w:tr>
        <w:tc>
          <w:tcPr>
            <w:shd w:fill="F0F0F0" w:val="clear"/>
            <w:tcMar>
              <w:top w:type="dxa" w:w="100"/>
              <w:left w:type="dxa" w:w="100"/>
              <w:bottom w:type="dxa" w:w="100"/>
              <w:right w:type="dxa" w:w="100"/>
            </w:tcMar>
          </w:tcPr>
          <w:p>
            <w:r>
              <w:t xml:space="preserve">Issue Scorecard</w:t>
            </w:r>
          </w:p>
        </w:tc>
        <w:tc>
          <w:tcPr>
            <w:shd w:fill="F0F0F0" w:val="clear"/>
            <w:tcMar>
              <w:top w:type="dxa" w:w="100"/>
              <w:left w:type="dxa" w:w="100"/>
              <w:bottom w:type="dxa" w:w="100"/>
              <w:right w:type="dxa" w:w="100"/>
            </w:tcMar>
          </w:tcPr>
          <w:p>
            <w:r>
              <w:t xml:space="preserve">Numeric Report</w:t>
            </w:r>
          </w:p>
        </w:tc>
        <w:tc>
          <w:tcPr>
            <w:shd w:fill="F0F0F0" w:val="clear"/>
            <w:tcMar>
              <w:top w:type="dxa" w:w="100"/>
              <w:left w:type="dxa" w:w="100"/>
              <w:bottom w:type="dxa" w:w="100"/>
              <w:right w:type="dxa" w:w="100"/>
            </w:tcMar>
          </w:tcPr>
          <w:p>
            <w:r>
              <w:t xml:space="preserve">Voting pattern analysis</w:t>
            </w:r>
          </w:p>
        </w:tc>
        <w:tc>
          <w:tcPr>
            <w:shd w:fill="F0F0F0" w:val="clear"/>
            <w:tcMar>
              <w:top w:type="dxa" w:w="100"/>
              <w:left w:type="dxa" w:w="100"/>
              <w:bottom w:type="dxa" w:w="100"/>
              <w:right w:type="dxa" w:w="100"/>
            </w:tcMar>
          </w:tcPr>
          <w:p>
            <w:r>
              <w:t xml:space="preserve">0-100 scores on each issue based on voting record and policy alignment</w:t>
            </w:r>
          </w:p>
        </w:tc>
      </w:tr>
    </w:tbl>
    <w:p>
      <w:pPr>
        <w:spacing w:after="400"/>
      </w:pPr>
    </w:p>
    <w:p>
      <w:pPr>
        <w:spacing w:after="200" w:line="360"/>
        <w:jc w:val="left"/>
      </w:pPr>
      <w:r>
        <w:t xml:space="preserve">The My Positions section consolidates all campaign resources for issue management, enabling campaign teams to move from data analysis to communication deployment within minutes.</w:t>
      </w:r>
    </w:p>
    <w:p>
      <w:pPr>
        <w:spacing w:before="400" w:after="200"/>
      </w:pPr>
      <w:r>
        <w:t xml:space="preserve">District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2E5090" w:val="clear"/>
            <w:tcMar>
              <w:top w:type="dxa" w:w="100"/>
              <w:left w:type="dxa" w:w="100"/>
              <w:bottom w:type="dxa" w:w="100"/>
              <w:right w:type="dxa" w:w="100"/>
            </w:tcMar>
          </w:tcPr>
          <w:p>
            <w:r>
              <w:t xml:space="preserve">Field Name</w:t>
            </w:r>
          </w:p>
        </w:tc>
        <w:tc>
          <w:tcPr>
            <w:shd w:fill="2E5090" w:val="clear"/>
            <w:tcMar>
              <w:top w:type="dxa" w:w="100"/>
              <w:left w:type="dxa" w:w="100"/>
              <w:bottom w:type="dxa" w:w="100"/>
              <w:right w:type="dxa" w:w="100"/>
            </w:tcMar>
          </w:tcPr>
          <w:p>
            <w:r>
              <w:t xml:space="preserve">Data Type</w:t>
            </w:r>
          </w:p>
        </w:tc>
        <w:tc>
          <w:tcPr>
            <w:shd w:fill="2E5090" w:val="clear"/>
            <w:tcMar>
              <w:top w:type="dxa" w:w="100"/>
              <w:left w:type="dxa" w:w="100"/>
              <w:bottom w:type="dxa" w:w="100"/>
              <w:right w:type="dxa" w:w="100"/>
            </w:tcMar>
          </w:tcPr>
          <w:p>
            <w:r>
              <w:t xml:space="preserve">Source</w:t>
            </w:r>
          </w:p>
        </w:tc>
        <w:tc>
          <w:tcPr>
            <w:shd w:fill="2E5090" w:val="clear"/>
            <w:tcMar>
              <w:top w:type="dxa" w:w="100"/>
              <w:left w:type="dxa" w:w="100"/>
              <w:bottom w:type="dxa" w:w="100"/>
              <w:right w:type="dxa" w:w="100"/>
            </w:tcMar>
          </w:tcPr>
          <w:p>
            <w:r>
              <w:t xml:space="preserve">Description</w:t>
            </w:r>
          </w:p>
        </w:tc>
      </w:tr>
      <w:tr>
        <w:tc>
          <w:tcPr>
            <w:shd w:fill="F0F0F0" w:val="clear"/>
            <w:tcMar>
              <w:top w:type="dxa" w:w="100"/>
              <w:left w:type="dxa" w:w="100"/>
              <w:bottom w:type="dxa" w:w="100"/>
              <w:right w:type="dxa" w:w="100"/>
            </w:tcMar>
          </w:tcPr>
          <w:p>
            <w:r>
              <w:t xml:space="preserve">Voter Priority Rankings</w:t>
            </w:r>
          </w:p>
        </w:tc>
        <w:tc>
          <w:tcPr>
            <w:shd w:fill="F0F0F0" w:val="clear"/>
            <w:tcMar>
              <w:top w:type="dxa" w:w="100"/>
              <w:left w:type="dxa" w:w="100"/>
              <w:bottom w:type="dxa" w:w="100"/>
              <w:right w:type="dxa" w:w="100"/>
            </w:tcMar>
          </w:tcPr>
          <w:p>
            <w:r>
              <w:t xml:space="preserve">Ranked List</w:t>
            </w:r>
          </w:p>
        </w:tc>
        <w:tc>
          <w:tcPr>
            <w:shd w:fill="F0F0F0" w:val="clear"/>
            <w:tcMar>
              <w:top w:type="dxa" w:w="100"/>
              <w:left w:type="dxa" w:w="100"/>
              <w:bottom w:type="dxa" w:w="100"/>
              <w:right w:type="dxa" w:w="100"/>
            </w:tcMar>
          </w:tcPr>
          <w:p>
            <w:r>
              <w:t xml:space="preserve">District polling</w:t>
            </w:r>
          </w:p>
        </w:tc>
        <w:tc>
          <w:tcPr>
            <w:shd w:fill="F0F0F0" w:val="clear"/>
            <w:tcMar>
              <w:top w:type="dxa" w:w="100"/>
              <w:left w:type="dxa" w:w="100"/>
              <w:bottom w:type="dxa" w:w="100"/>
              <w:right w:type="dxa" w:w="100"/>
            </w:tcMar>
          </w:tcPr>
          <w:p>
            <w:r>
              <w:t xml:space="preserve">Voter priorities ranked by importance and support levels</w:t>
            </w:r>
          </w:p>
        </w:tc>
      </w:tr>
      <w:tr>
        <w:tc>
          <w:tcPr>
            <w:shd w:fill="F0F0F0" w:val="clear"/>
            <w:tcMar>
              <w:top w:type="dxa" w:w="100"/>
              <w:left w:type="dxa" w:w="100"/>
              <w:bottom w:type="dxa" w:w="100"/>
              <w:right w:type="dxa" w:w="100"/>
            </w:tcMar>
          </w:tcPr>
          <w:p>
            <w:r>
              <w:t xml:space="preserve">Demographic Issue Breakdown</w:t>
            </w:r>
          </w:p>
        </w:tc>
        <w:tc>
          <w:tcPr>
            <w:shd w:fill="F0F0F0" w:val="clear"/>
            <w:tcMar>
              <w:top w:type="dxa" w:w="100"/>
              <w:left w:type="dxa" w:w="100"/>
              <w:bottom w:type="dxa" w:w="100"/>
              <w:right w:type="dxa" w:w="100"/>
            </w:tcMar>
          </w:tcPr>
          <w:p>
            <w:r>
              <w:t xml:space="preserve">Segmentation Table</w:t>
            </w:r>
          </w:p>
        </w:tc>
        <w:tc>
          <w:tcPr>
            <w:shd w:fill="F0F0F0" w:val="clear"/>
            <w:tcMar>
              <w:top w:type="dxa" w:w="100"/>
              <w:left w:type="dxa" w:w="100"/>
              <w:bottom w:type="dxa" w:w="100"/>
              <w:right w:type="dxa" w:w="100"/>
            </w:tcMar>
          </w:tcPr>
          <w:p>
            <w:r>
              <w:t xml:space="preserve">Demographic polling</w:t>
            </w:r>
          </w:p>
        </w:tc>
        <w:tc>
          <w:tcPr>
            <w:shd w:fill="F0F0F0" w:val="clear"/>
            <w:tcMar>
              <w:top w:type="dxa" w:w="100"/>
              <w:left w:type="dxa" w:w="100"/>
              <w:bottom w:type="dxa" w:w="100"/>
              <w:right w:type="dxa" w:w="100"/>
            </w:tcMar>
          </w:tcPr>
          <w:p>
            <w:r>
              <w:t xml:space="preserve">Which demographics prioritize which issues, with support percentages</w:t>
            </w:r>
          </w:p>
        </w:tc>
      </w:tr>
      <w:tr>
        <w:tc>
          <w:tcPr>
            <w:shd w:fill="F0F0F0" w:val="clear"/>
            <w:tcMar>
              <w:top w:type="dxa" w:w="100"/>
              <w:left w:type="dxa" w:w="100"/>
              <w:bottom w:type="dxa" w:w="100"/>
              <w:right w:type="dxa" w:w="100"/>
            </w:tcMar>
          </w:tcPr>
          <w:p>
            <w:r>
              <w:t xml:space="preserve">Geographic Issue Map</w:t>
            </w:r>
          </w:p>
        </w:tc>
        <w:tc>
          <w:tcPr>
            <w:shd w:fill="F0F0F0" w:val="clear"/>
            <w:tcMar>
              <w:top w:type="dxa" w:w="100"/>
              <w:left w:type="dxa" w:w="100"/>
              <w:bottom w:type="dxa" w:w="100"/>
              <w:right w:type="dxa" w:w="100"/>
            </w:tcMar>
          </w:tcPr>
          <w:p>
            <w:r>
              <w:t xml:space="preserve">Visual Map</w:t>
            </w:r>
          </w:p>
        </w:tc>
        <w:tc>
          <w:tcPr>
            <w:shd w:fill="F0F0F0" w:val="clear"/>
            <w:tcMar>
              <w:top w:type="dxa" w:w="100"/>
              <w:left w:type="dxa" w:w="100"/>
              <w:bottom w:type="dxa" w:w="100"/>
              <w:right w:type="dxa" w:w="100"/>
            </w:tcMar>
          </w:tcPr>
          <w:p>
            <w:r>
              <w:t xml:space="preserve">Voter geocoding</w:t>
            </w:r>
          </w:p>
        </w:tc>
        <w:tc>
          <w:tcPr>
            <w:shd w:fill="F0F0F0" w:val="clear"/>
            <w:tcMar>
              <w:top w:type="dxa" w:w="100"/>
              <w:left w:type="dxa" w:w="100"/>
              <w:bottom w:type="dxa" w:w="100"/>
              <w:right w:type="dxa" w:w="100"/>
            </w:tcMar>
          </w:tcPr>
          <w:p>
            <w:r>
              <w:t xml:space="preserve">Geographic heat map of issue priorities by precinct or neighborhood</w:t>
            </w:r>
          </w:p>
        </w:tc>
      </w:tr>
      <w:tr>
        <w:tc>
          <w:tcPr>
            <w:shd w:fill="F0F0F0" w:val="clear"/>
            <w:tcMar>
              <w:top w:type="dxa" w:w="100"/>
              <w:left w:type="dxa" w:w="100"/>
              <w:bottom w:type="dxa" w:w="100"/>
              <w:right w:type="dxa" w:w="100"/>
            </w:tcMar>
          </w:tcPr>
          <w:p>
            <w:r>
              <w:t xml:space="preserve">Issue Trend Timeline</w:t>
            </w:r>
          </w:p>
        </w:tc>
        <w:tc>
          <w:tcPr>
            <w:shd w:fill="F0F0F0" w:val="clear"/>
            <w:tcMar>
              <w:top w:type="dxa" w:w="100"/>
              <w:left w:type="dxa" w:w="100"/>
              <w:bottom w:type="dxa" w:w="100"/>
              <w:right w:type="dxa" w:w="100"/>
            </w:tcMar>
          </w:tcPr>
          <w:p>
            <w:r>
              <w:t xml:space="preserve">Time Series Chart</w:t>
            </w:r>
          </w:p>
        </w:tc>
        <w:tc>
          <w:tcPr>
            <w:shd w:fill="F0F0F0" w:val="clear"/>
            <w:tcMar>
              <w:top w:type="dxa" w:w="100"/>
              <w:left w:type="dxa" w:w="100"/>
              <w:bottom w:type="dxa" w:w="100"/>
              <w:right w:type="dxa" w:w="100"/>
            </w:tcMar>
          </w:tcPr>
          <w:p>
            <w:r>
              <w:t xml:space="preserve">Historical polling</w:t>
            </w:r>
          </w:p>
        </w:tc>
        <w:tc>
          <w:tcPr>
            <w:shd w:fill="F0F0F0" w:val="clear"/>
            <w:tcMar>
              <w:top w:type="dxa" w:w="100"/>
              <w:left w:type="dxa" w:w="100"/>
              <w:bottom w:type="dxa" w:w="100"/>
              <w:right w:type="dxa" w:w="100"/>
            </w:tcMar>
          </w:tcPr>
          <w:p>
            <w:r>
              <w:t xml:space="preserve">How voter issue priorities have shifted over months, with velocity</w:t>
            </w:r>
          </w:p>
        </w:tc>
      </w:tr>
    </w:tbl>
    <w:p>
      <w:pPr>
        <w:spacing w:after="400"/>
      </w:pPr>
    </w:p>
    <w:p>
      <w:pPr>
        <w:spacing w:after="200" w:line="360"/>
        <w:jc w:val="left"/>
      </w:pPr>
      <w:r>
        <w:t xml:space="preserve">The District Analysis section consolidates all campaign resources for issue management, enabling campaign teams to move from data analysis to communication deployment within minutes.</w:t>
      </w:r>
    </w:p>
    <w:p>
      <w:pPr>
        <w:spacing w:before="400" w:after="200"/>
      </w:pPr>
      <w:r>
        <w:t xml:space="preserve">Opponent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2E5090" w:val="clear"/>
            <w:tcMar>
              <w:top w:type="dxa" w:w="100"/>
              <w:left w:type="dxa" w:w="100"/>
              <w:bottom w:type="dxa" w:w="100"/>
              <w:right w:type="dxa" w:w="100"/>
            </w:tcMar>
          </w:tcPr>
          <w:p>
            <w:r>
              <w:t xml:space="preserve">Field Name</w:t>
            </w:r>
          </w:p>
        </w:tc>
        <w:tc>
          <w:tcPr>
            <w:shd w:fill="2E5090" w:val="clear"/>
            <w:tcMar>
              <w:top w:type="dxa" w:w="100"/>
              <w:left w:type="dxa" w:w="100"/>
              <w:bottom w:type="dxa" w:w="100"/>
              <w:right w:type="dxa" w:w="100"/>
            </w:tcMar>
          </w:tcPr>
          <w:p>
            <w:r>
              <w:t xml:space="preserve">Data Type</w:t>
            </w:r>
          </w:p>
        </w:tc>
        <w:tc>
          <w:tcPr>
            <w:shd w:fill="2E5090" w:val="clear"/>
            <w:tcMar>
              <w:top w:type="dxa" w:w="100"/>
              <w:left w:type="dxa" w:w="100"/>
              <w:bottom w:type="dxa" w:w="100"/>
              <w:right w:type="dxa" w:w="100"/>
            </w:tcMar>
          </w:tcPr>
          <w:p>
            <w:r>
              <w:t xml:space="preserve">Source</w:t>
            </w:r>
          </w:p>
        </w:tc>
        <w:tc>
          <w:tcPr>
            <w:shd w:fill="2E5090" w:val="clear"/>
            <w:tcMar>
              <w:top w:type="dxa" w:w="100"/>
              <w:left w:type="dxa" w:w="100"/>
              <w:bottom w:type="dxa" w:w="100"/>
              <w:right w:type="dxa" w:w="100"/>
            </w:tcMar>
          </w:tcPr>
          <w:p>
            <w:r>
              <w:t xml:space="preserve">Description</w:t>
            </w:r>
          </w:p>
        </w:tc>
      </w:tr>
      <w:tr>
        <w:tc>
          <w:tcPr>
            <w:shd w:fill="F0F0F0" w:val="clear"/>
            <w:tcMar>
              <w:top w:type="dxa" w:w="100"/>
              <w:left w:type="dxa" w:w="100"/>
              <w:bottom w:type="dxa" w:w="100"/>
              <w:right w:type="dxa" w:w="100"/>
            </w:tcMar>
          </w:tcPr>
          <w:p>
            <w:r>
              <w:t xml:space="preserve">Side-by-Side Positions</w:t>
            </w:r>
          </w:p>
        </w:tc>
        <w:tc>
          <w:tcPr>
            <w:shd w:fill="F0F0F0" w:val="clear"/>
            <w:tcMar>
              <w:top w:type="dxa" w:w="100"/>
              <w:left w:type="dxa" w:w="100"/>
              <w:bottom w:type="dxa" w:w="100"/>
              <w:right w:type="dxa" w:w="100"/>
            </w:tcMar>
          </w:tcPr>
          <w:p>
            <w:r>
              <w:t xml:space="preserve">Comparison Table</w:t>
            </w:r>
          </w:p>
        </w:tc>
        <w:tc>
          <w:tcPr>
            <w:shd w:fill="F0F0F0" w:val="clear"/>
            <w:tcMar>
              <w:top w:type="dxa" w:w="100"/>
              <w:left w:type="dxa" w:w="100"/>
              <w:bottom w:type="dxa" w:w="100"/>
              <w:right w:type="dxa" w:w="100"/>
            </w:tcMar>
          </w:tcPr>
          <w:p>
            <w:r>
              <w:t xml:space="preserve">Opponent positions</w:t>
            </w:r>
          </w:p>
        </w:tc>
        <w:tc>
          <w:tcPr>
            <w:shd w:fill="F0F0F0" w:val="clear"/>
            <w:tcMar>
              <w:top w:type="dxa" w:w="100"/>
              <w:left w:type="dxa" w:w="100"/>
              <w:bottom w:type="dxa" w:w="100"/>
              <w:right w:type="dxa" w:w="100"/>
            </w:tcMar>
          </w:tcPr>
          <w:p>
            <w:r>
              <w:t xml:space="preserve">Candidate vs opponent positions on each issue, highlighted with differences</w:t>
            </w:r>
          </w:p>
        </w:tc>
      </w:tr>
      <w:tr>
        <w:tc>
          <w:tcPr>
            <w:shd w:fill="F0F0F0" w:val="clear"/>
            <w:tcMar>
              <w:top w:type="dxa" w:w="100"/>
              <w:left w:type="dxa" w:w="100"/>
              <w:bottom w:type="dxa" w:w="100"/>
              <w:right w:type="dxa" w:w="100"/>
            </w:tcMar>
          </w:tcPr>
          <w:p>
            <w:r>
              <w:t xml:space="preserve">Vulnerability Analysis</w:t>
            </w:r>
          </w:p>
        </w:tc>
        <w:tc>
          <w:tcPr>
            <w:shd w:fill="F0F0F0" w:val="clear"/>
            <w:tcMar>
              <w:top w:type="dxa" w:w="100"/>
              <w:left w:type="dxa" w:w="100"/>
              <w:bottom w:type="dxa" w:w="100"/>
              <w:right w:type="dxa" w:w="100"/>
            </w:tcMar>
          </w:tcPr>
          <w:p>
            <w:r>
              <w:t xml:space="preserve">Strategic Analysis</w:t>
            </w:r>
          </w:p>
        </w:tc>
        <w:tc>
          <w:tcPr>
            <w:shd w:fill="F0F0F0" w:val="clear"/>
            <w:tcMar>
              <w:top w:type="dxa" w:w="100"/>
              <w:left w:type="dxa" w:w="100"/>
              <w:bottom w:type="dxa" w:w="100"/>
              <w:right w:type="dxa" w:w="100"/>
            </w:tcMar>
          </w:tcPr>
          <w:p>
            <w:r>
              <w:t xml:space="preserve">Position vs district values</w:t>
            </w:r>
          </w:p>
        </w:tc>
        <w:tc>
          <w:tcPr>
            <w:shd w:fill="F0F0F0" w:val="clear"/>
            <w:tcMar>
              <w:top w:type="dxa" w:w="100"/>
              <w:left w:type="dxa" w:w="100"/>
              <w:bottom w:type="dxa" w:w="100"/>
              <w:right w:type="dxa" w:w="100"/>
            </w:tcMar>
          </w:tcPr>
          <w:p>
            <w:r>
              <w:t xml:space="preserve">Issues where opponent positions create vulnerability or change opportunity</w:t>
            </w:r>
          </w:p>
        </w:tc>
      </w:tr>
      <w:tr>
        <w:tc>
          <w:tcPr>
            <w:shd w:fill="F0F0F0" w:val="clear"/>
            <w:tcMar>
              <w:top w:type="dxa" w:w="100"/>
              <w:left w:type="dxa" w:w="100"/>
              <w:bottom w:type="dxa" w:w="100"/>
              <w:right w:type="dxa" w:w="100"/>
            </w:tcMar>
          </w:tcPr>
          <w:p>
            <w:r>
              <w:t xml:space="preserve">Attack Points</w:t>
            </w:r>
          </w:p>
        </w:tc>
        <w:tc>
          <w:tcPr>
            <w:shd w:fill="F0F0F0" w:val="clear"/>
            <w:tcMar>
              <w:top w:type="dxa" w:w="100"/>
              <w:left w:type="dxa" w:w="100"/>
              <w:bottom w:type="dxa" w:w="100"/>
              <w:right w:type="dxa" w:w="100"/>
            </w:tcMar>
          </w:tcPr>
          <w:p>
            <w:r>
              <w:t xml:space="preserve">Messaging Framework</w:t>
            </w:r>
          </w:p>
        </w:tc>
        <w:tc>
          <w:tcPr>
            <w:shd w:fill="F0F0F0" w:val="clear"/>
            <w:tcMar>
              <w:top w:type="dxa" w:w="100"/>
              <w:left w:type="dxa" w:w="100"/>
              <w:bottom w:type="dxa" w:w="100"/>
              <w:right w:type="dxa" w:w="100"/>
            </w:tcMar>
          </w:tcPr>
          <w:p>
            <w:r>
              <w:t xml:space="preserve">Position contradictions</w:t>
            </w:r>
          </w:p>
        </w:tc>
        <w:tc>
          <w:tcPr>
            <w:shd w:fill="F0F0F0" w:val="clear"/>
            <w:tcMar>
              <w:top w:type="dxa" w:w="100"/>
              <w:left w:type="dxa" w:w="100"/>
              <w:bottom w:type="dxa" w:w="100"/>
              <w:right w:type="dxa" w:w="100"/>
            </w:tcMar>
          </w:tcPr>
          <w:p>
            <w:r>
              <w:t xml:space="preserve">Inconsistencies or unpopular positions in opponent record, with messaging</w:t>
            </w:r>
          </w:p>
        </w:tc>
      </w:tr>
      <w:tr>
        <w:tc>
          <w:tcPr>
            <w:shd w:fill="F0F0F0" w:val="clear"/>
            <w:tcMar>
              <w:top w:type="dxa" w:w="100"/>
              <w:left w:type="dxa" w:w="100"/>
              <w:bottom w:type="dxa" w:w="100"/>
              <w:right w:type="dxa" w:w="100"/>
            </w:tcMar>
          </w:tcPr>
          <w:p>
            <w:r>
              <w:t xml:space="preserve">Defense Points</w:t>
            </w:r>
          </w:p>
        </w:tc>
        <w:tc>
          <w:tcPr>
            <w:shd w:fill="F0F0F0" w:val="clear"/>
            <w:tcMar>
              <w:top w:type="dxa" w:w="100"/>
              <w:left w:type="dxa" w:w="100"/>
              <w:bottom w:type="dxa" w:w="100"/>
              <w:right w:type="dxa" w:w="100"/>
            </w:tcMar>
          </w:tcPr>
          <w:p>
            <w:r>
              <w:t xml:space="preserve">Counter-messaging</w:t>
            </w:r>
          </w:p>
        </w:tc>
        <w:tc>
          <w:tcPr>
            <w:shd w:fill="F0F0F0" w:val="clear"/>
            <w:tcMar>
              <w:top w:type="dxa" w:w="100"/>
              <w:left w:type="dxa" w:w="100"/>
              <w:bottom w:type="dxa" w:w="100"/>
              <w:right w:type="dxa" w:w="100"/>
            </w:tcMar>
          </w:tcPr>
          <w:p>
            <w:r>
              <w:t xml:space="preserve">Anticipated attacks</w:t>
            </w:r>
          </w:p>
        </w:tc>
        <w:tc>
          <w:tcPr>
            <w:shd w:fill="F0F0F0" w:val="clear"/>
            <w:tcMar>
              <w:top w:type="dxa" w:w="100"/>
              <w:left w:type="dxa" w:w="100"/>
              <w:bottom w:type="dxa" w:w="100"/>
              <w:right w:type="dxa" w:w="100"/>
            </w:tcMar>
          </w:tcPr>
          <w:p>
            <w:r>
              <w:t xml:space="preserve">Anticipated opponent attacks and recommended counter-messaging by issue</w:t>
            </w:r>
          </w:p>
        </w:tc>
      </w:tr>
    </w:tbl>
    <w:p>
      <w:pPr>
        <w:spacing w:after="400"/>
      </w:pPr>
    </w:p>
    <w:p>
      <w:pPr>
        <w:spacing w:after="200" w:line="360"/>
        <w:jc w:val="left"/>
      </w:pPr>
      <w:r>
        <w:t xml:space="preserve">The Opponent Comparison section consolidates all campaign resources for issue management, enabling campaign teams to move from data analysis to communication deployment within minutes.</w:t>
      </w:r>
    </w:p>
    <w:p>
      <w:pPr>
        <w:spacing w:before="400" w:after="200"/>
      </w:pPr>
      <w:r>
        <w:t xml:space="preserve">Communication Hub</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2E5090" w:val="clear"/>
            <w:tcMar>
              <w:top w:type="dxa" w:w="100"/>
              <w:left w:type="dxa" w:w="100"/>
              <w:bottom w:type="dxa" w:w="100"/>
              <w:right w:type="dxa" w:w="100"/>
            </w:tcMar>
          </w:tcPr>
          <w:p>
            <w:r>
              <w:t xml:space="preserve">Field Name</w:t>
            </w:r>
          </w:p>
        </w:tc>
        <w:tc>
          <w:tcPr>
            <w:shd w:fill="2E5090" w:val="clear"/>
            <w:tcMar>
              <w:top w:type="dxa" w:w="100"/>
              <w:left w:type="dxa" w:w="100"/>
              <w:bottom w:type="dxa" w:w="100"/>
              <w:right w:type="dxa" w:w="100"/>
            </w:tcMar>
          </w:tcPr>
          <w:p>
            <w:r>
              <w:t xml:space="preserve">Data Type</w:t>
            </w:r>
          </w:p>
        </w:tc>
        <w:tc>
          <w:tcPr>
            <w:shd w:fill="2E5090" w:val="clear"/>
            <w:tcMar>
              <w:top w:type="dxa" w:w="100"/>
              <w:left w:type="dxa" w:w="100"/>
              <w:bottom w:type="dxa" w:w="100"/>
              <w:right w:type="dxa" w:w="100"/>
            </w:tcMar>
          </w:tcPr>
          <w:p>
            <w:r>
              <w:t xml:space="preserve">Source</w:t>
            </w:r>
          </w:p>
        </w:tc>
        <w:tc>
          <w:tcPr>
            <w:shd w:fill="2E5090" w:val="clear"/>
            <w:tcMar>
              <w:top w:type="dxa" w:w="100"/>
              <w:left w:type="dxa" w:w="100"/>
              <w:bottom w:type="dxa" w:w="100"/>
              <w:right w:type="dxa" w:w="100"/>
            </w:tcMar>
          </w:tcPr>
          <w:p>
            <w:r>
              <w:t xml:space="preserve">Description</w:t>
            </w:r>
          </w:p>
        </w:tc>
      </w:tr>
      <w:tr>
        <w:tc>
          <w:tcPr>
            <w:shd w:fill="F0F0F0" w:val="clear"/>
            <w:tcMar>
              <w:top w:type="dxa" w:w="100"/>
              <w:left w:type="dxa" w:w="100"/>
              <w:bottom w:type="dxa" w:w="100"/>
              <w:right w:type="dxa" w:w="100"/>
            </w:tcMar>
          </w:tcPr>
          <w:p>
            <w:r>
              <w:t xml:space="preserve">Issue Response Templates</w:t>
            </w:r>
          </w:p>
        </w:tc>
        <w:tc>
          <w:tcPr>
            <w:shd w:fill="F0F0F0" w:val="clear"/>
            <w:tcMar>
              <w:top w:type="dxa" w:w="100"/>
              <w:left w:type="dxa" w:w="100"/>
              <w:bottom w:type="dxa" w:w="100"/>
              <w:right w:type="dxa" w:w="100"/>
            </w:tcMar>
          </w:tcPr>
          <w:p>
            <w:r>
              <w:t xml:space="preserve">Template Library</w:t>
            </w:r>
          </w:p>
        </w:tc>
        <w:tc>
          <w:tcPr>
            <w:shd w:fill="F0F0F0" w:val="clear"/>
            <w:tcMar>
              <w:top w:type="dxa" w:w="100"/>
              <w:left w:type="dxa" w:w="100"/>
              <w:bottom w:type="dxa" w:w="100"/>
              <w:right w:type="dxa" w:w="100"/>
            </w:tcMar>
          </w:tcPr>
          <w:p>
            <w:r>
              <w:t xml:space="preserve">Template database</w:t>
            </w:r>
          </w:p>
        </w:tc>
        <w:tc>
          <w:tcPr>
            <w:shd w:fill="F0F0F0" w:val="clear"/>
            <w:tcMar>
              <w:top w:type="dxa" w:w="100"/>
              <w:left w:type="dxa" w:w="100"/>
              <w:bottom w:type="dxa" w:w="100"/>
              <w:right w:type="dxa" w:w="100"/>
            </w:tcMar>
          </w:tcPr>
          <w:p>
            <w:r>
              <w:t xml:space="preserve">Pre-built messaging frameworks for each issue by tone and audience</w:t>
            </w:r>
          </w:p>
        </w:tc>
      </w:tr>
      <w:tr>
        <w:tc>
          <w:tcPr>
            <w:shd w:fill="F0F0F0" w:val="clear"/>
            <w:tcMar>
              <w:top w:type="dxa" w:w="100"/>
              <w:left w:type="dxa" w:w="100"/>
              <w:bottom w:type="dxa" w:w="100"/>
              <w:right w:type="dxa" w:w="100"/>
            </w:tcMar>
          </w:tcPr>
          <w:p>
            <w:r>
              <w:t xml:space="preserve">Newsletter by Issue</w:t>
            </w:r>
          </w:p>
        </w:tc>
        <w:tc>
          <w:tcPr>
            <w:shd w:fill="F0F0F0" w:val="clear"/>
            <w:tcMar>
              <w:top w:type="dxa" w:w="100"/>
              <w:left w:type="dxa" w:w="100"/>
              <w:bottom w:type="dxa" w:w="100"/>
              <w:right w:type="dxa" w:w="100"/>
            </w:tcMar>
          </w:tcPr>
          <w:p>
            <w:r>
              <w:t xml:space="preserve">Content Template</w:t>
            </w:r>
          </w:p>
        </w:tc>
        <w:tc>
          <w:tcPr>
            <w:shd w:fill="F0F0F0" w:val="clear"/>
            <w:tcMar>
              <w:top w:type="dxa" w:w="100"/>
              <w:left w:type="dxa" w:w="100"/>
              <w:bottom w:type="dxa" w:w="100"/>
              <w:right w:type="dxa" w:w="100"/>
            </w:tcMar>
          </w:tcPr>
          <w:p>
            <w:r>
              <w:t xml:space="preserve">Template library</w:t>
            </w:r>
          </w:p>
        </w:tc>
        <w:tc>
          <w:tcPr>
            <w:shd w:fill="F0F0F0" w:val="clear"/>
            <w:tcMar>
              <w:top w:type="dxa" w:w="100"/>
              <w:left w:type="dxa" w:w="100"/>
              <w:bottom w:type="dxa" w:w="100"/>
              <w:right w:type="dxa" w:w="100"/>
            </w:tcMar>
          </w:tcPr>
          <w:p>
            <w:r>
              <w:t xml:space="preserve">Newsletter templates optimized for deep-dive issue discussion</w:t>
            </w:r>
          </w:p>
        </w:tc>
      </w:tr>
      <w:tr>
        <w:tc>
          <w:tcPr>
            <w:shd w:fill="F0F0F0" w:val="clear"/>
            <w:tcMar>
              <w:top w:type="dxa" w:w="100"/>
              <w:left w:type="dxa" w:w="100"/>
              <w:bottom w:type="dxa" w:w="100"/>
              <w:right w:type="dxa" w:w="100"/>
            </w:tcMar>
          </w:tcPr>
          <w:p>
            <w:r>
              <w:t xml:space="preserve">Social Media by Issue</w:t>
            </w:r>
          </w:p>
        </w:tc>
        <w:tc>
          <w:tcPr>
            <w:shd w:fill="F0F0F0" w:val="clear"/>
            <w:tcMar>
              <w:top w:type="dxa" w:w="100"/>
              <w:left w:type="dxa" w:w="100"/>
              <w:bottom w:type="dxa" w:w="100"/>
              <w:right w:type="dxa" w:w="100"/>
            </w:tcMar>
          </w:tcPr>
          <w:p>
            <w:r>
              <w:t xml:space="preserve">Multi-platform Templates</w:t>
            </w:r>
          </w:p>
        </w:tc>
        <w:tc>
          <w:tcPr>
            <w:shd w:fill="F0F0F0" w:val="clear"/>
            <w:tcMar>
              <w:top w:type="dxa" w:w="100"/>
              <w:left w:type="dxa" w:w="100"/>
              <w:bottom w:type="dxa" w:w="100"/>
              <w:right w:type="dxa" w:w="100"/>
            </w:tcMar>
          </w:tcPr>
          <w:p>
            <w:r>
              <w:t xml:space="preserve">Platform-optimized templates</w:t>
            </w:r>
          </w:p>
        </w:tc>
        <w:tc>
          <w:tcPr>
            <w:shd w:fill="F0F0F0" w:val="clear"/>
            <w:tcMar>
              <w:top w:type="dxa" w:w="100"/>
              <w:left w:type="dxa" w:w="100"/>
              <w:bottom w:type="dxa" w:w="100"/>
              <w:right w:type="dxa" w:w="100"/>
            </w:tcMar>
          </w:tcPr>
          <w:p>
            <w:r>
              <w:t xml:space="preserve">Twitter, Facebook, Instagram templates by issue with optimal post lengths</w:t>
            </w:r>
          </w:p>
        </w:tc>
      </w:tr>
      <w:tr>
        <w:tc>
          <w:tcPr>
            <w:shd w:fill="F0F0F0" w:val="clear"/>
            <w:tcMar>
              <w:top w:type="dxa" w:w="100"/>
              <w:left w:type="dxa" w:w="100"/>
              <w:bottom w:type="dxa" w:w="100"/>
              <w:right w:type="dxa" w:w="100"/>
            </w:tcMar>
          </w:tcPr>
          <w:p>
            <w:r>
              <w:t xml:space="preserve">Press Release by Issue</w:t>
            </w:r>
          </w:p>
        </w:tc>
        <w:tc>
          <w:tcPr>
            <w:shd w:fill="F0F0F0" w:val="clear"/>
            <w:tcMar>
              <w:top w:type="dxa" w:w="100"/>
              <w:left w:type="dxa" w:w="100"/>
              <w:bottom w:type="dxa" w:w="100"/>
              <w:right w:type="dxa" w:w="100"/>
            </w:tcMar>
          </w:tcPr>
          <w:p>
            <w:r>
              <w:t xml:space="preserve">PR Template</w:t>
            </w:r>
          </w:p>
        </w:tc>
        <w:tc>
          <w:tcPr>
            <w:shd w:fill="F0F0F0" w:val="clear"/>
            <w:tcMar>
              <w:top w:type="dxa" w:w="100"/>
              <w:left w:type="dxa" w:w="100"/>
              <w:bottom w:type="dxa" w:w="100"/>
              <w:right w:type="dxa" w:w="100"/>
            </w:tcMar>
          </w:tcPr>
          <w:p>
            <w:r>
              <w:t xml:space="preserve">Journalistic framework</w:t>
            </w:r>
          </w:p>
        </w:tc>
        <w:tc>
          <w:tcPr>
            <w:shd w:fill="F0F0F0" w:val="clear"/>
            <w:tcMar>
              <w:top w:type="dxa" w:w="100"/>
              <w:left w:type="dxa" w:w="100"/>
              <w:bottom w:type="dxa" w:w="100"/>
              <w:right w:type="dxa" w:w="100"/>
            </w:tcMar>
          </w:tcPr>
          <w:p>
            <w:r>
              <w:t xml:space="preserve">Professional press release templates for issue announcements</w:t>
            </w:r>
          </w:p>
        </w:tc>
      </w:tr>
      <w:tr>
        <w:tc>
          <w:tcPr>
            <w:shd w:fill="F0F0F0" w:val="clear"/>
            <w:tcMar>
              <w:top w:type="dxa" w:w="100"/>
              <w:left w:type="dxa" w:w="100"/>
              <w:bottom w:type="dxa" w:w="100"/>
              <w:right w:type="dxa" w:w="100"/>
            </w:tcMar>
          </w:tcPr>
          <w:p>
            <w:r>
              <w:t xml:space="preserve">Talking Points</w:t>
            </w:r>
          </w:p>
        </w:tc>
        <w:tc>
          <w:tcPr>
            <w:shd w:fill="F0F0F0" w:val="clear"/>
            <w:tcMar>
              <w:top w:type="dxa" w:w="100"/>
              <w:left w:type="dxa" w:w="100"/>
              <w:bottom w:type="dxa" w:w="100"/>
              <w:right w:type="dxa" w:w="100"/>
            </w:tcMar>
          </w:tcPr>
          <w:p>
            <w:r>
              <w:t xml:space="preserve">Reference Document</w:t>
            </w:r>
          </w:p>
        </w:tc>
        <w:tc>
          <w:tcPr>
            <w:shd w:fill="F0F0F0" w:val="clear"/>
            <w:tcMar>
              <w:top w:type="dxa" w:w="100"/>
              <w:left w:type="dxa" w:w="100"/>
              <w:bottom w:type="dxa" w:w="100"/>
              <w:right w:type="dxa" w:w="100"/>
            </w:tcMar>
          </w:tcPr>
          <w:p>
            <w:r>
              <w:t xml:space="preserve">E20 recommendation engine</w:t>
            </w:r>
          </w:p>
        </w:tc>
        <w:tc>
          <w:tcPr>
            <w:shd w:fill="F0F0F0" w:val="clear"/>
            <w:tcMar>
              <w:top w:type="dxa" w:w="100"/>
              <w:left w:type="dxa" w:w="100"/>
              <w:bottom w:type="dxa" w:w="100"/>
              <w:right w:type="dxa" w:w="100"/>
            </w:tcMar>
          </w:tcPr>
          <w:p>
            <w:r>
              <w:t xml:space="preserve">Campaign talking points on each issue with data support and counterarguments</w:t>
            </w:r>
          </w:p>
        </w:tc>
      </w:tr>
    </w:tbl>
    <w:p>
      <w:pPr>
        <w:spacing w:after="400"/>
      </w:pPr>
    </w:p>
    <w:p>
      <w:pPr>
        <w:spacing w:after="200" w:line="360"/>
        <w:jc w:val="left"/>
      </w:pPr>
      <w:r>
        <w:t xml:space="preserve">The Communication Hub section consolidates all campaign resources for issue management, enabling campaign teams to move from data analysis to communication deployment within minutes.</w:t>
      </w:r>
    </w:p>
    <w:p>
      <w:pPr>
        <w:spacing w:after="200" w:line="360"/>
        <w:jc w:val="left"/>
      </w:pPr>
      <w:r>
        <w:t xml:space="preserve">The Command Center's integrated design ensures that candidates and campaign managers can navigate between data analysis, position development, district understanding, opponent analysis, and communication execution without context switching. Each section is accessible from the main navigation, with breadcrumb trails enabling rapid navigation.</w:t>
      </w:r>
    </w:p>
    <w:p>
      <w:pPr>
        <w:pBdr>
          <w:bottom w:val="single" w:color="auto" w:sz="6" w:space="1"/>
        </w:pBdr>
        <w:spacing w:before="400" w:after="200"/>
      </w:pPr>
      <w:r>
        <w:t xml:space="preserve">SECTION 4: ADMIN PANEL (BLACK/LIGHT MODE)</w:t>
      </w:r>
    </w:p>
    <w:p>
      <w:pPr>
        <w:spacing w:before="400" w:after="200"/>
      </w:pPr>
      <w:r>
        <w:t xml:space="preserve">Issue Analytics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2E5090" w:val="clear"/>
            <w:tcMar>
              <w:top w:type="dxa" w:w="100"/>
              <w:left w:type="dxa" w:w="100"/>
              <w:bottom w:type="dxa" w:w="100"/>
              <w:right w:type="dxa" w:w="100"/>
            </w:tcMar>
          </w:tcPr>
          <w:p>
            <w:r>
              <w:t xml:space="preserve">Metric Name</w:t>
            </w:r>
          </w:p>
        </w:tc>
        <w:tc>
          <w:tcPr>
            <w:shd w:fill="2E5090" w:val="clear"/>
            <w:tcMar>
              <w:top w:type="dxa" w:w="100"/>
              <w:left w:type="dxa" w:w="100"/>
              <w:bottom w:type="dxa" w:w="100"/>
              <w:right w:type="dxa" w:w="100"/>
            </w:tcMar>
          </w:tcPr>
          <w:p>
            <w:r>
              <w:t xml:space="preserve">Data Type</w:t>
            </w:r>
          </w:p>
        </w:tc>
        <w:tc>
          <w:tcPr>
            <w:shd w:fill="2E5090" w:val="clear"/>
            <w:tcMar>
              <w:top w:type="dxa" w:w="100"/>
              <w:left w:type="dxa" w:w="100"/>
              <w:bottom w:type="dxa" w:w="100"/>
              <w:right w:type="dxa" w:w="100"/>
            </w:tcMar>
          </w:tcPr>
          <w:p>
            <w:r>
              <w:t xml:space="preserve">Source</w:t>
            </w:r>
          </w:p>
        </w:tc>
        <w:tc>
          <w:tcPr>
            <w:shd w:fill="2E5090" w:val="clear"/>
            <w:tcMar>
              <w:top w:type="dxa" w:w="100"/>
              <w:left w:type="dxa" w:w="100"/>
              <w:bottom w:type="dxa" w:w="100"/>
              <w:right w:type="dxa" w:w="100"/>
            </w:tcMar>
          </w:tcPr>
          <w:p>
            <w:r>
              <w:t xml:space="preserve">Description</w:t>
            </w:r>
          </w:p>
        </w:tc>
      </w:tr>
      <w:tr>
        <w:tc>
          <w:tcPr>
            <w:shd w:fill="F0F0F0" w:val="clear"/>
            <w:tcMar>
              <w:top w:type="dxa" w:w="100"/>
              <w:left w:type="dxa" w:w="100"/>
              <w:bottom w:type="dxa" w:w="100"/>
              <w:right w:type="dxa" w:w="100"/>
            </w:tcMar>
          </w:tcPr>
          <w:p>
            <w:r>
              <w:t xml:space="preserve">Voter Engagement by Issue</w:t>
            </w:r>
          </w:p>
        </w:tc>
        <w:tc>
          <w:tcPr>
            <w:shd w:fill="F0F0F0" w:val="clear"/>
            <w:tcMar>
              <w:top w:type="dxa" w:w="100"/>
              <w:left w:type="dxa" w:w="100"/>
              <w:bottom w:type="dxa" w:w="100"/>
              <w:right w:type="dxa" w:w="100"/>
            </w:tcMar>
          </w:tcPr>
          <w:p>
            <w:r>
              <w:t xml:space="preserve">Engagement Metrics</w:t>
            </w:r>
          </w:p>
        </w:tc>
        <w:tc>
          <w:tcPr>
            <w:shd w:fill="F0F0F0" w:val="clear"/>
            <w:tcMar>
              <w:top w:type="dxa" w:w="100"/>
              <w:left w:type="dxa" w:w="100"/>
              <w:bottom w:type="dxa" w:w="100"/>
              <w:right w:type="dxa" w:w="100"/>
            </w:tcMar>
          </w:tcPr>
          <w:p>
            <w:r>
              <w:t xml:space="preserve">Email + social tracking</w:t>
            </w:r>
          </w:p>
        </w:tc>
        <w:tc>
          <w:tcPr>
            <w:shd w:fill="F0F0F0" w:val="clear"/>
            <w:tcMar>
              <w:top w:type="dxa" w:w="100"/>
              <w:left w:type="dxa" w:w="100"/>
              <w:bottom w:type="dxa" w:w="100"/>
              <w:right w:type="dxa" w:w="100"/>
            </w:tcMar>
          </w:tcPr>
          <w:p>
            <w:r>
              <w:t xml:space="preserve">Engagement rates (opens, clicks, shares) for each issue's communications</w:t>
            </w:r>
          </w:p>
        </w:tc>
      </w:tr>
      <w:tr>
        <w:tc>
          <w:tcPr>
            <w:shd w:fill="F0F0F0" w:val="clear"/>
            <w:tcMar>
              <w:top w:type="dxa" w:w="100"/>
              <w:left w:type="dxa" w:w="100"/>
              <w:bottom w:type="dxa" w:w="100"/>
              <w:right w:type="dxa" w:w="100"/>
            </w:tcMar>
          </w:tcPr>
          <w:p>
            <w:r>
              <w:t xml:space="preserve">Position Favorability</w:t>
            </w:r>
          </w:p>
        </w:tc>
        <w:tc>
          <w:tcPr>
            <w:shd w:fill="F0F0F0" w:val="clear"/>
            <w:tcMar>
              <w:top w:type="dxa" w:w="100"/>
              <w:left w:type="dxa" w:w="100"/>
              <w:bottom w:type="dxa" w:w="100"/>
              <w:right w:type="dxa" w:w="100"/>
            </w:tcMar>
          </w:tcPr>
          <w:p>
            <w:r>
              <w:t xml:space="preserve">Sentiment Analysis</w:t>
            </w:r>
          </w:p>
        </w:tc>
        <w:tc>
          <w:tcPr>
            <w:shd w:fill="F0F0F0" w:val="clear"/>
            <w:tcMar>
              <w:top w:type="dxa" w:w="100"/>
              <w:left w:type="dxa" w:w="100"/>
              <w:bottom w:type="dxa" w:w="100"/>
              <w:right w:type="dxa" w:w="100"/>
            </w:tcMar>
          </w:tcPr>
          <w:p>
            <w:r>
              <w:t xml:space="preserve">Social media sentiment</w:t>
            </w:r>
          </w:p>
        </w:tc>
        <w:tc>
          <w:tcPr>
            <w:shd w:fill="F0F0F0" w:val="clear"/>
            <w:tcMar>
              <w:top w:type="dxa" w:w="100"/>
              <w:left w:type="dxa" w:w="100"/>
              <w:bottom w:type="dxa" w:w="100"/>
              <w:right w:type="dxa" w:w="100"/>
            </w:tcMar>
          </w:tcPr>
          <w:p>
            <w:r>
              <w:t xml:space="preserve">Net favorability of candidate position on each issue in district</w:t>
            </w:r>
          </w:p>
        </w:tc>
      </w:tr>
      <w:tr>
        <w:tc>
          <w:tcPr>
            <w:shd w:fill="F0F0F0" w:val="clear"/>
            <w:tcMar>
              <w:top w:type="dxa" w:w="100"/>
              <w:left w:type="dxa" w:w="100"/>
              <w:bottom w:type="dxa" w:w="100"/>
              <w:right w:type="dxa" w:w="100"/>
            </w:tcMar>
          </w:tcPr>
          <w:p>
            <w:r>
              <w:t xml:space="preserve">Issue Salience Trends</w:t>
            </w:r>
          </w:p>
        </w:tc>
        <w:tc>
          <w:tcPr>
            <w:shd w:fill="F0F0F0" w:val="clear"/>
            <w:tcMar>
              <w:top w:type="dxa" w:w="100"/>
              <w:left w:type="dxa" w:w="100"/>
              <w:bottom w:type="dxa" w:w="100"/>
              <w:right w:type="dxa" w:w="100"/>
            </w:tcMar>
          </w:tcPr>
          <w:p>
            <w:r>
              <w:t xml:space="preserve">Trend Analysis</w:t>
            </w:r>
          </w:p>
        </w:tc>
        <w:tc>
          <w:tcPr>
            <w:shd w:fill="F0F0F0" w:val="clear"/>
            <w:tcMar>
              <w:top w:type="dxa" w:w="100"/>
              <w:left w:type="dxa" w:w="100"/>
              <w:bottom w:type="dxa" w:w="100"/>
              <w:right w:type="dxa" w:w="100"/>
            </w:tcMar>
          </w:tcPr>
          <w:p>
            <w:r>
              <w:t xml:space="preserve">Polling + social data</w:t>
            </w:r>
          </w:p>
        </w:tc>
        <w:tc>
          <w:tcPr>
            <w:shd w:fill="F0F0F0" w:val="clear"/>
            <w:tcMar>
              <w:top w:type="dxa" w:w="100"/>
              <w:left w:type="dxa" w:w="100"/>
              <w:bottom w:type="dxa" w:w="100"/>
              <w:right w:type="dxa" w:w="100"/>
            </w:tcMar>
          </w:tcPr>
          <w:p>
            <w:r>
              <w:t xml:space="preserve">Velocity of issue importance changes, identifying emerging or fading issues</w:t>
            </w:r>
          </w:p>
        </w:tc>
      </w:tr>
      <w:tr>
        <w:tc>
          <w:tcPr>
            <w:shd w:fill="F0F0F0" w:val="clear"/>
            <w:tcMar>
              <w:top w:type="dxa" w:w="100"/>
              <w:left w:type="dxa" w:w="100"/>
              <w:bottom w:type="dxa" w:w="100"/>
              <w:right w:type="dxa" w:w="100"/>
            </w:tcMar>
          </w:tcPr>
          <w:p>
            <w:r>
              <w:t xml:space="preserve">Communication Effectiveness by Issue</w:t>
            </w:r>
          </w:p>
        </w:tc>
        <w:tc>
          <w:tcPr>
            <w:shd w:fill="F0F0F0" w:val="clear"/>
            <w:tcMar>
              <w:top w:type="dxa" w:w="100"/>
              <w:left w:type="dxa" w:w="100"/>
              <w:bottom w:type="dxa" w:w="100"/>
              <w:right w:type="dxa" w:w="100"/>
            </w:tcMar>
          </w:tcPr>
          <w:p>
            <w:r>
              <w:t xml:space="preserve">Performance Report</w:t>
            </w:r>
          </w:p>
        </w:tc>
        <w:tc>
          <w:tcPr>
            <w:shd w:fill="F0F0F0" w:val="clear"/>
            <w:tcMar>
              <w:top w:type="dxa" w:w="100"/>
              <w:left w:type="dxa" w:w="100"/>
              <w:bottom w:type="dxa" w:w="100"/>
              <w:right w:type="dxa" w:w="100"/>
            </w:tcMar>
          </w:tcPr>
          <w:p>
            <w:r>
              <w:t xml:space="preserve">Campaign tracking</w:t>
            </w:r>
          </w:p>
        </w:tc>
        <w:tc>
          <w:tcPr>
            <w:shd w:fill="F0F0F0" w:val="clear"/>
            <w:tcMar>
              <w:top w:type="dxa" w:w="100"/>
              <w:left w:type="dxa" w:w="100"/>
              <w:bottom w:type="dxa" w:w="100"/>
              <w:right w:type="dxa" w:w="100"/>
            </w:tcMar>
          </w:tcPr>
          <w:p>
            <w:r>
              <w:t xml:space="preserve">ROI metrics for communications on each issue: engagement, conversion, fundraising</w:t>
            </w:r>
          </w:p>
        </w:tc>
      </w:tr>
    </w:tbl>
    <w:p>
      <w:pPr>
        <w:spacing w:after="400"/>
      </w:pPr>
    </w:p>
    <w:p>
      <w:pPr>
        <w:spacing w:after="200" w:line="360"/>
        <w:jc w:val="left"/>
      </w:pPr>
      <w:r>
        <w:t xml:space="preserve">The Issue Analytics analytics module provides campaign leadership with high-level performance metrics for strategic decision-making and resource allocation.</w:t>
      </w:r>
    </w:p>
    <w:p>
      <w:pPr>
        <w:spacing w:before="400" w:after="200"/>
      </w:pPr>
      <w:r>
        <w:t xml:space="preserve">Alignment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2E5090" w:val="clear"/>
            <w:tcMar>
              <w:top w:type="dxa" w:w="100"/>
              <w:left w:type="dxa" w:w="100"/>
              <w:bottom w:type="dxa" w:w="100"/>
              <w:right w:type="dxa" w:w="100"/>
            </w:tcMar>
          </w:tcPr>
          <w:p>
            <w:r>
              <w:t xml:space="preserve">Metric Name</w:t>
            </w:r>
          </w:p>
        </w:tc>
        <w:tc>
          <w:tcPr>
            <w:shd w:fill="2E5090" w:val="clear"/>
            <w:tcMar>
              <w:top w:type="dxa" w:w="100"/>
              <w:left w:type="dxa" w:w="100"/>
              <w:bottom w:type="dxa" w:w="100"/>
              <w:right w:type="dxa" w:w="100"/>
            </w:tcMar>
          </w:tcPr>
          <w:p>
            <w:r>
              <w:t xml:space="preserve">Data Type</w:t>
            </w:r>
          </w:p>
        </w:tc>
        <w:tc>
          <w:tcPr>
            <w:shd w:fill="2E5090" w:val="clear"/>
            <w:tcMar>
              <w:top w:type="dxa" w:w="100"/>
              <w:left w:type="dxa" w:w="100"/>
              <w:bottom w:type="dxa" w:w="100"/>
              <w:right w:type="dxa" w:w="100"/>
            </w:tcMar>
          </w:tcPr>
          <w:p>
            <w:r>
              <w:t xml:space="preserve">Source</w:t>
            </w:r>
          </w:p>
        </w:tc>
        <w:tc>
          <w:tcPr>
            <w:shd w:fill="2E5090" w:val="clear"/>
            <w:tcMar>
              <w:top w:type="dxa" w:w="100"/>
              <w:left w:type="dxa" w:w="100"/>
              <w:bottom w:type="dxa" w:w="100"/>
              <w:right w:type="dxa" w:w="100"/>
            </w:tcMar>
          </w:tcPr>
          <w:p>
            <w:r>
              <w:t xml:space="preserve">Description</w:t>
            </w:r>
          </w:p>
        </w:tc>
      </w:tr>
      <w:tr>
        <w:tc>
          <w:tcPr>
            <w:shd w:fill="F0F0F0" w:val="clear"/>
            <w:tcMar>
              <w:top w:type="dxa" w:w="100"/>
              <w:left w:type="dxa" w:w="100"/>
              <w:bottom w:type="dxa" w:w="100"/>
              <w:right w:type="dxa" w:w="100"/>
            </w:tcMar>
          </w:tcPr>
          <w:p>
            <w:r>
              <w:t xml:space="preserve">District Alignment Score</w:t>
            </w:r>
          </w:p>
        </w:tc>
        <w:tc>
          <w:tcPr>
            <w:shd w:fill="F0F0F0" w:val="clear"/>
            <w:tcMar>
              <w:top w:type="dxa" w:w="100"/>
              <w:left w:type="dxa" w:w="100"/>
              <w:bottom w:type="dxa" w:w="100"/>
              <w:right w:type="dxa" w:w="100"/>
            </w:tcMar>
          </w:tcPr>
          <w:p>
            <w:r>
              <w:t xml:space="preserve">Composite Score</w:t>
            </w:r>
          </w:p>
        </w:tc>
        <w:tc>
          <w:tcPr>
            <w:shd w:fill="F0F0F0" w:val="clear"/>
            <w:tcMar>
              <w:top w:type="dxa" w:w="100"/>
              <w:left w:type="dxa" w:w="100"/>
              <w:bottom w:type="dxa" w:w="100"/>
              <w:right w:type="dxa" w:w="100"/>
            </w:tcMar>
          </w:tcPr>
          <w:p>
            <w:r>
              <w:t xml:space="preserve">Voter polling data</w:t>
            </w:r>
          </w:p>
        </w:tc>
        <w:tc>
          <w:tcPr>
            <w:shd w:fill="F0F0F0" w:val="clear"/>
            <w:tcMar>
              <w:top w:type="dxa" w:w="100"/>
              <w:left w:type="dxa" w:w="100"/>
              <w:bottom w:type="dxa" w:w="100"/>
              <w:right w:type="dxa" w:w="100"/>
            </w:tcMar>
          </w:tcPr>
          <w:p>
            <w:r>
              <w:t xml:space="preserve">Overall alignment % between candidate positions and district voter preferences</w:t>
            </w:r>
          </w:p>
        </w:tc>
      </w:tr>
      <w:tr>
        <w:tc>
          <w:tcPr>
            <w:shd w:fill="F0F0F0" w:val="clear"/>
            <w:tcMar>
              <w:top w:type="dxa" w:w="100"/>
              <w:left w:type="dxa" w:w="100"/>
              <w:bottom w:type="dxa" w:w="100"/>
              <w:right w:type="dxa" w:w="100"/>
            </w:tcMar>
          </w:tcPr>
          <w:p>
            <w:r>
              <w:t xml:space="preserve">Swing Voter Issues</w:t>
            </w:r>
          </w:p>
        </w:tc>
        <w:tc>
          <w:tcPr>
            <w:shd w:fill="F0F0F0" w:val="clear"/>
            <w:tcMar>
              <w:top w:type="dxa" w:w="100"/>
              <w:left w:type="dxa" w:w="100"/>
              <w:bottom w:type="dxa" w:w="100"/>
              <w:right w:type="dxa" w:w="100"/>
            </w:tcMar>
          </w:tcPr>
          <w:p>
            <w:r>
              <w:t xml:space="preserve">Segment Analysis</w:t>
            </w:r>
          </w:p>
        </w:tc>
        <w:tc>
          <w:tcPr>
            <w:shd w:fill="F0F0F0" w:val="clear"/>
            <w:tcMar>
              <w:top w:type="dxa" w:w="100"/>
              <w:left w:type="dxa" w:w="100"/>
              <w:bottom w:type="dxa" w:w="100"/>
              <w:right w:type="dxa" w:w="100"/>
            </w:tcMar>
          </w:tcPr>
          <w:p>
            <w:r>
              <w:t xml:space="preserve">Persuadable voter data</w:t>
            </w:r>
          </w:p>
        </w:tc>
        <w:tc>
          <w:tcPr>
            <w:shd w:fill="F0F0F0" w:val="clear"/>
            <w:tcMar>
              <w:top w:type="dxa" w:w="100"/>
              <w:left w:type="dxa" w:w="100"/>
              <w:bottom w:type="dxa" w:w="100"/>
              <w:right w:type="dxa" w:w="100"/>
            </w:tcMar>
          </w:tcPr>
          <w:p>
            <w:r>
              <w:t xml:space="preserve">Issues that matter most to persuadable swing voters in district</w:t>
            </w:r>
          </w:p>
        </w:tc>
      </w:tr>
      <w:tr>
        <w:tc>
          <w:tcPr>
            <w:shd w:fill="F0F0F0" w:val="clear"/>
            <w:tcMar>
              <w:top w:type="dxa" w:w="100"/>
              <w:left w:type="dxa" w:w="100"/>
              <w:bottom w:type="dxa" w:w="100"/>
              <w:right w:type="dxa" w:w="100"/>
            </w:tcMar>
          </w:tcPr>
          <w:p>
            <w:r>
              <w:t xml:space="preserve">Persuasion Opportunity Issues</w:t>
            </w:r>
          </w:p>
        </w:tc>
        <w:tc>
          <w:tcPr>
            <w:shd w:fill="F0F0F0" w:val="clear"/>
            <w:tcMar>
              <w:top w:type="dxa" w:w="100"/>
              <w:left w:type="dxa" w:w="100"/>
              <w:bottom w:type="dxa" w:w="100"/>
              <w:right w:type="dxa" w:w="100"/>
            </w:tcMar>
          </w:tcPr>
          <w:p>
            <w:r>
              <w:t xml:space="preserve">Strategic Analysis</w:t>
            </w:r>
          </w:p>
        </w:tc>
        <w:tc>
          <w:tcPr>
            <w:shd w:fill="F0F0F0" w:val="clear"/>
            <w:tcMar>
              <w:top w:type="dxa" w:w="100"/>
              <w:left w:type="dxa" w:w="100"/>
              <w:bottom w:type="dxa" w:w="100"/>
              <w:right w:type="dxa" w:w="100"/>
            </w:tcMar>
          </w:tcPr>
          <w:p>
            <w:r>
              <w:t xml:space="preserve">Alignment gaps</w:t>
            </w:r>
          </w:p>
        </w:tc>
        <w:tc>
          <w:tcPr>
            <w:shd w:fill="F0F0F0" w:val="clear"/>
            <w:tcMar>
              <w:top w:type="dxa" w:w="100"/>
              <w:left w:type="dxa" w:w="100"/>
              <w:bottom w:type="dxa" w:w="100"/>
              <w:right w:type="dxa" w:w="100"/>
            </w:tcMar>
          </w:tcPr>
          <w:p>
            <w:r>
              <w:t xml:space="preserve">Issues where closing position gaps could shift swing voter support</w:t>
            </w:r>
          </w:p>
        </w:tc>
      </w:tr>
    </w:tbl>
    <w:p>
      <w:pPr>
        <w:spacing w:after="400"/>
      </w:pPr>
    </w:p>
    <w:p>
      <w:pPr>
        <w:spacing w:after="200" w:line="360"/>
        <w:jc w:val="left"/>
      </w:pPr>
      <w:r>
        <w:t xml:space="preserve">The Alignment Metrics analytics module provides campaign leadership with high-level performance metrics for strategic decision-making and resource allocation.</w:t>
      </w:r>
    </w:p>
    <w:p>
      <w:pPr>
        <w:spacing w:before="400" w:after="200"/>
      </w:pPr>
      <w:r>
        <w:t xml:space="preserve">Campaign Impact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2E5090" w:val="clear"/>
            <w:tcMar>
              <w:top w:type="dxa" w:w="100"/>
              <w:left w:type="dxa" w:w="100"/>
              <w:bottom w:type="dxa" w:w="100"/>
              <w:right w:type="dxa" w:w="100"/>
            </w:tcMar>
          </w:tcPr>
          <w:p>
            <w:r>
              <w:t xml:space="preserve">Metric Name</w:t>
            </w:r>
          </w:p>
        </w:tc>
        <w:tc>
          <w:tcPr>
            <w:shd w:fill="2E5090" w:val="clear"/>
            <w:tcMar>
              <w:top w:type="dxa" w:w="100"/>
              <w:left w:type="dxa" w:w="100"/>
              <w:bottom w:type="dxa" w:w="100"/>
              <w:right w:type="dxa" w:w="100"/>
            </w:tcMar>
          </w:tcPr>
          <w:p>
            <w:r>
              <w:t xml:space="preserve">Data Type</w:t>
            </w:r>
          </w:p>
        </w:tc>
        <w:tc>
          <w:tcPr>
            <w:shd w:fill="2E5090" w:val="clear"/>
            <w:tcMar>
              <w:top w:type="dxa" w:w="100"/>
              <w:left w:type="dxa" w:w="100"/>
              <w:bottom w:type="dxa" w:w="100"/>
              <w:right w:type="dxa" w:w="100"/>
            </w:tcMar>
          </w:tcPr>
          <w:p>
            <w:r>
              <w:t xml:space="preserve">Source</w:t>
            </w:r>
          </w:p>
        </w:tc>
        <w:tc>
          <w:tcPr>
            <w:shd w:fill="2E5090" w:val="clear"/>
            <w:tcMar>
              <w:top w:type="dxa" w:w="100"/>
              <w:left w:type="dxa" w:w="100"/>
              <w:bottom w:type="dxa" w:w="100"/>
              <w:right w:type="dxa" w:w="100"/>
            </w:tcMar>
          </w:tcPr>
          <w:p>
            <w:r>
              <w:t xml:space="preserve">Description</w:t>
            </w:r>
          </w:p>
        </w:tc>
      </w:tr>
      <w:tr>
        <w:tc>
          <w:tcPr>
            <w:shd w:fill="F0F0F0" w:val="clear"/>
            <w:tcMar>
              <w:top w:type="dxa" w:w="100"/>
              <w:left w:type="dxa" w:w="100"/>
              <w:bottom w:type="dxa" w:w="100"/>
              <w:right w:type="dxa" w:w="100"/>
            </w:tcMar>
          </w:tcPr>
          <w:p>
            <w:r>
              <w:t xml:space="preserve">Donations Attributed to Issue Messaging</w:t>
            </w:r>
          </w:p>
        </w:tc>
        <w:tc>
          <w:tcPr>
            <w:shd w:fill="F0F0F0" w:val="clear"/>
            <w:tcMar>
              <w:top w:type="dxa" w:w="100"/>
              <w:left w:type="dxa" w:w="100"/>
              <w:bottom w:type="dxa" w:w="100"/>
              <w:right w:type="dxa" w:w="100"/>
            </w:tcMar>
          </w:tcPr>
          <w:p>
            <w:r>
              <w:t xml:space="preserve">Revenue Attribution</w:t>
            </w:r>
          </w:p>
        </w:tc>
        <w:tc>
          <w:tcPr>
            <w:shd w:fill="F0F0F0" w:val="clear"/>
            <w:tcMar>
              <w:top w:type="dxa" w:w="100"/>
              <w:left w:type="dxa" w:w="100"/>
              <w:bottom w:type="dxa" w:w="100"/>
              <w:right w:type="dxa" w:w="100"/>
            </w:tcMar>
          </w:tcPr>
          <w:p>
            <w:r>
              <w:t xml:space="preserve">Donation tracking tags</w:t>
            </w:r>
          </w:p>
        </w:tc>
        <w:tc>
          <w:tcPr>
            <w:shd w:fill="F0F0F0" w:val="clear"/>
            <w:tcMar>
              <w:top w:type="dxa" w:w="100"/>
              <w:left w:type="dxa" w:w="100"/>
              <w:bottom w:type="dxa" w:w="100"/>
              <w:right w:type="dxa" w:w="100"/>
            </w:tcMar>
          </w:tcPr>
          <w:p>
            <w:r>
              <w:t xml:space="preserve">Fundraising dollars correlated with specific issue communications</w:t>
            </w:r>
          </w:p>
        </w:tc>
      </w:tr>
      <w:tr>
        <w:tc>
          <w:tcPr>
            <w:shd w:fill="F0F0F0" w:val="clear"/>
            <w:tcMar>
              <w:top w:type="dxa" w:w="100"/>
              <w:left w:type="dxa" w:w="100"/>
              <w:bottom w:type="dxa" w:w="100"/>
              <w:right w:type="dxa" w:w="100"/>
            </w:tcMar>
          </w:tcPr>
          <w:p>
            <w:r>
              <w:t xml:space="preserve">Volunteer Signups by Issue</w:t>
            </w:r>
          </w:p>
        </w:tc>
        <w:tc>
          <w:tcPr>
            <w:shd w:fill="F0F0F0" w:val="clear"/>
            <w:tcMar>
              <w:top w:type="dxa" w:w="100"/>
              <w:left w:type="dxa" w:w="100"/>
              <w:bottom w:type="dxa" w:w="100"/>
              <w:right w:type="dxa" w:w="100"/>
            </w:tcMar>
          </w:tcPr>
          <w:p>
            <w:r>
              <w:t xml:space="preserve">Recruitment Metrics</w:t>
            </w:r>
          </w:p>
        </w:tc>
        <w:tc>
          <w:tcPr>
            <w:shd w:fill="F0F0F0" w:val="clear"/>
            <w:tcMar>
              <w:top w:type="dxa" w:w="100"/>
              <w:left w:type="dxa" w:w="100"/>
              <w:bottom w:type="dxa" w:w="100"/>
              <w:right w:type="dxa" w:w="100"/>
            </w:tcMar>
          </w:tcPr>
          <w:p>
            <w:r>
              <w:t xml:space="preserve">Volunteer signup forms</w:t>
            </w:r>
          </w:p>
        </w:tc>
        <w:tc>
          <w:tcPr>
            <w:shd w:fill="F0F0F0" w:val="clear"/>
            <w:tcMar>
              <w:top w:type="dxa" w:w="100"/>
              <w:left w:type="dxa" w:w="100"/>
              <w:bottom w:type="dxa" w:w="100"/>
              <w:right w:type="dxa" w:w="100"/>
            </w:tcMar>
          </w:tcPr>
          <w:p>
            <w:r>
              <w:t xml:space="preserve">Volunteer signups attributed to specific issue messaging campaigns</w:t>
            </w:r>
          </w:p>
        </w:tc>
      </w:tr>
      <w:tr>
        <w:tc>
          <w:tcPr>
            <w:shd w:fill="F0F0F0" w:val="clear"/>
            <w:tcMar>
              <w:top w:type="dxa" w:w="100"/>
              <w:left w:type="dxa" w:w="100"/>
              <w:bottom w:type="dxa" w:w="100"/>
              <w:right w:type="dxa" w:w="100"/>
            </w:tcMar>
          </w:tcPr>
          <w:p>
            <w:r>
              <w:t xml:space="preserve">Event Attendance by Issue Topic</w:t>
            </w:r>
          </w:p>
        </w:tc>
        <w:tc>
          <w:tcPr>
            <w:shd w:fill="F0F0F0" w:val="clear"/>
            <w:tcMar>
              <w:top w:type="dxa" w:w="100"/>
              <w:left w:type="dxa" w:w="100"/>
              <w:bottom w:type="dxa" w:w="100"/>
              <w:right w:type="dxa" w:w="100"/>
            </w:tcMar>
          </w:tcPr>
          <w:p>
            <w:r>
              <w:t xml:space="preserve">Event Analytics</w:t>
            </w:r>
          </w:p>
        </w:tc>
        <w:tc>
          <w:tcPr>
            <w:shd w:fill="F0F0F0" w:val="clear"/>
            <w:tcMar>
              <w:top w:type="dxa" w:w="100"/>
              <w:left w:type="dxa" w:w="100"/>
              <w:bottom w:type="dxa" w:w="100"/>
              <w:right w:type="dxa" w:w="100"/>
            </w:tcMar>
          </w:tcPr>
          <w:p>
            <w:r>
              <w:t xml:space="preserve">Event registrations</w:t>
            </w:r>
          </w:p>
        </w:tc>
        <w:tc>
          <w:tcPr>
            <w:shd w:fill="F0F0F0" w:val="clear"/>
            <w:tcMar>
              <w:top w:type="dxa" w:w="100"/>
              <w:left w:type="dxa" w:w="100"/>
              <w:bottom w:type="dxa" w:w="100"/>
              <w:right w:type="dxa" w:w="100"/>
            </w:tcMar>
          </w:tcPr>
          <w:p>
            <w:r>
              <w:t xml:space="preserve">Event attendance correlated with issue focus, enabling future event planning</w:t>
            </w:r>
          </w:p>
        </w:tc>
      </w:tr>
    </w:tbl>
    <w:p>
      <w:pPr>
        <w:spacing w:after="400"/>
      </w:pPr>
    </w:p>
    <w:p>
      <w:pPr>
        <w:spacing w:after="200" w:line="360"/>
        <w:jc w:val="left"/>
      </w:pPr>
      <w:r>
        <w:t xml:space="preserve">The Campaign Impact analytics module provides campaign leadership with high-level performance metrics for strategic decision-making and resource allocation.</w:t>
      </w:r>
    </w:p>
    <w:p>
      <w:pPr>
        <w:spacing w:after="200" w:line="360"/>
        <w:jc w:val="left"/>
      </w:pPr>
      <w:r>
        <w:t xml:space="preserve">The Admin Panel consolidates all key performance indicators into dashboards accessible only to campaign management. Real-time metrics enable rapid course correction; historical trends enable predictive analysis. Campaign leadership can identify which issues drive donations, volunteer recruitment, and voter persuasion, enabling data-driven campaign prioritization.</w:t>
      </w:r>
    </w:p>
    <w:p>
      <w:pPr>
        <w:pBdr>
          <w:bottom w:val="single" w:color="auto" w:sz="6" w:space="1"/>
        </w:pBdr>
        <w:spacing w:before="400" w:after="200"/>
      </w:pPr>
      <w:r>
        <w:t xml:space="preserve">SECTION 5: E20 BRAIN INTEGRATION</w:t>
      </w:r>
    </w:p>
    <w:p>
      <w:pPr>
        <w:spacing w:after="200" w:line="360"/>
        <w:jc w:val="left"/>
      </w:pPr>
      <w:r>
        <w:t xml:space="preserve">The E07 Issue Tracking ecosystem integrates with the E20 Brain AI engine, enabling intelligent issue analysis, message optimization, and strategic guidance. E20's machine learning models process campaign data, voter signals, and historical performance patterns to enhance issue management decision-making.</w:t>
      </w:r>
    </w:p>
    <w:p>
      <w:pPr>
        <w:spacing w:after="200" w:line="360"/>
        <w:jc w:val="left"/>
      </w:pPr>
      <w:r>
        <w:t xml:space="preserve">Issue salience prediction is E20's first key contribution. E20 analyzes social media signals, news coverage, search trends, and polling data to predict which issues will become voter priorities 2-4 weeks before they dominate polling. This predictive capability enables proactive rather than reactive campaign positioning. When E20 detects early signals of an emerging issue, E07 alerts campaign leadership, providing time to develop and test messaging before the issue reaches peak salience.</w:t>
      </w:r>
    </w:p>
    <w:p>
      <w:pPr>
        <w:spacing w:after="200" w:line="360"/>
        <w:jc w:val="left"/>
      </w:pPr>
      <w:r>
        <w:t xml:space="preserve">Optimal issue framing per voter segment is E20's second capability. Different voter segments respond to different framing of the same underlying issue. Healthcare reform can be framed as "controlling costs" (resonates with fiscal conservatives), "protecting coverage" (resonates with vulnerable populations), or "improving outcomes" (resonates with quality-focused voters). E20 analyzes voter segment data, previous communication performance, and demographic psychographics to recommend optimal framing for each segment. E07 surfaces these recommendations in the AI-Recommended Messaging field on the dashboard.</w:t>
      </w:r>
    </w:p>
    <w:p>
      <w:pPr>
        <w:spacing w:after="200" w:line="360"/>
        <w:jc w:val="left"/>
      </w:pPr>
      <w:r>
        <w:t xml:space="preserve">Opponent vulnerability detection is E20's third integration point. E20 analyzes opponent position statements, voting records, and public statements to identify inconsistencies, contradictions, and positions unpopular in the district. E07's Vulnerability Analysis module surfaces these opportunities with specific messaging recommendations. When E20 detects an opponent position that contradicts their previous statements or district values, campaign teams receive alerts with attack point templates.</w:t>
      </w:r>
    </w:p>
    <w:p>
      <w:pPr>
        <w:spacing w:after="200" w:line="360"/>
        <w:jc w:val="left"/>
      </w:pPr>
      <w:r>
        <w:t xml:space="preserve">Issue-based donor matching is E20's fourth application. E20 analyzes donor contribution patterns to identify which donors prioritize which issues. A donor who previously gave in response to environmental messaging is flagged as an environmental issue donor. When E07 launches environmental issue communications, E20 recommends targeting these donors for solicitation. This precision targeting increases fundraising ROI and donor satisfaction.</w:t>
      </w:r>
    </w:p>
    <w:p>
      <w:pPr>
        <w:spacing w:after="200" w:line="360"/>
        <w:jc w:val="left"/>
      </w:pPr>
      <w:r>
        <w:t xml:space="preserve">Legislative impact forecasting is E20's fifth integration. E20 analyzes pending legislation to predict district-level impacts—employment effects, cost of living impacts, demographic winners and losers. E07's Bill Tracker module displays E20's impact forecasts, enabling candidates to understand consequences of voting decisions and prepare constituent communications in advance.</w:t>
      </w:r>
    </w:p>
    <w:p>
      <w:pPr>
        <w:spacing w:after="200" w:line="360"/>
        <w:jc w:val="left"/>
      </w:pPr>
      <w:r>
        <w:t xml:space="preserve">Message performance prediction is E20's sixth capability. When campaign teams draft messages on specific issues, E20 analyzes the text against historical campaign data to predict engagement rates, conversion rates, and demographic resonance. High-performing messages are flagged for amplification; low-performing messages receive revision suggestions before deployment.</w:t>
      </w:r>
    </w:p>
    <w:p>
      <w:pPr>
        <w:spacing w:after="200" w:line="360"/>
        <w:jc w:val="left"/>
      </w:pPr>
      <w:r>
        <w:t xml:space="preserve">Crisis issue detection is E20's seventh function. E20 monitors social media and news in real-time for emerging scandals or controversies related to campaign issues. If an opponent is involved in a scandal related to healthcare policy, E20 identifies this as a crisis issue requiring rapid response. E07 surfaces crisis alerts with pre-drafted response messaging.</w:t>
      </w:r>
    </w:p>
    <w:p>
      <w:pPr>
        <w:spacing w:after="200" w:line="360"/>
        <w:jc w:val="left"/>
      </w:pPr>
      <w:r>
        <w:t xml:space="preserve">Voter sentiment tracking on each issue is E20's eighth contribution. E20 analyzes social media sentiment, polling data, and engagement metrics to track whether voter sentiment on each issue is moving toward or away from candidate positions. Sentiment dashboard displays show sentiment trajectories, enabling campaign teams to identify issues where messaging is effective versus ineffective.</w:t>
      </w:r>
    </w:p>
    <w:p>
      <w:pPr>
        <w:spacing w:after="200" w:line="360"/>
        <w:jc w:val="left"/>
      </w:pPr>
      <w:r>
        <w:t xml:space="preserve">Demographic issue targeting optimization is E20's ninth function. E20 identifies which issues resonate most strongly with which demographics. Hispanic voters may prioritize immigration; young voters may prioritize climate; older voters may prioritize healthcare. E07's Demographic Issue Breakdown displays E20's segmentation analysis, enabling targeted issue communications.</w:t>
      </w:r>
    </w:p>
    <w:p>
      <w:pPr>
        <w:spacing w:after="200" w:line="360"/>
        <w:jc w:val="left"/>
      </w:pPr>
      <w:r>
        <w:t xml:space="preserve">Coalition building recommendations are E20's tenth integration. E20 identifies voters who share issue priorities across apparently different demographics, identifying cross-cutting coalitions. For instance, rural and urban voters might both prioritize water quality for different reasons. E20's coalition analysis helps campaigns identify surprising coalition opportunities.</w:t>
      </w:r>
    </w:p>
    <w:p>
      <w:pPr>
        <w:spacing w:after="200" w:line="360"/>
        <w:jc w:val="left"/>
      </w:pPr>
      <w:r>
        <w:t xml:space="preserve">Swing voter issue analysis is E20's eleventh application. E20 identifies persuadable swing voters and analyzes their top issue priorities. This enables campaigns to focus on closing alignment gaps on the issues most important to persuadable voters, maximizing voter conversion efficiency.</w:t>
      </w:r>
    </w:p>
    <w:p>
      <w:pPr>
        <w:spacing w:after="200" w:line="360"/>
        <w:jc w:val="left"/>
      </w:pPr>
      <w:r>
        <w:t xml:space="preserve">Issue evolution prediction tracks how voter issue priorities change over election cycles. E20 analyzes historical data to predict how issue priorities will evolve over coming months. A candidate can prepare for anticipated issue shifts in advance.</w:t>
      </w:r>
    </w:p>
    <w:p>
      <w:pPr>
        <w:spacing w:after="200" w:line="360"/>
        <w:jc w:val="left"/>
      </w:pPr>
      <w:r>
        <w:t xml:space="preserve">Cross-issue conflict resolution is E20's final function. Sometimes candidate positions on different issues create apparent contradictions. E20 analyzes these conflicts and recommends messaging that reconciles apparent inconsistencies. For instance, a candidate supporting both environmental protection and job creation might appear inconsistent; E20 recommends "green jobs" framing that synthesizes both positions.</w:t>
      </w:r>
    </w:p>
    <w:p>
      <w:pPr>
        <w:pBdr>
          <w:bottom w:val="single" w:color="auto" w:sz="6" w:space="1"/>
        </w:pBdr>
        <w:spacing w:before="400" w:after="200"/>
      </w:pPr>
      <w:r>
        <w:t xml:space="preserve">SECTION 6: INSPINIA MAPPING</w:t>
      </w:r>
    </w:p>
    <w:p>
      <w:pPr>
        <w:spacing w:after="200" w:line="360"/>
        <w:jc w:val="left"/>
      </w:pPr>
      <w:r>
        <w:t xml:space="preserve">The Inspinia dashboard framework provides the underlying UI/UX architecture for E07's command center. Inspinia's responsive, modular design accommodates E07's complex data requirements while maintaining usability across devices.</w:t>
      </w:r>
    </w:p>
    <w:p>
      <w:pPr>
        <w:spacing w:after="200" w:line="360"/>
        <w:jc w:val="left"/>
      </w:pPr>
      <w:r>
        <w:t xml:space="preserve">The left-side navigation in Inspinia maps directly to E07's command center sections: Issue Dashboard, My Positions, District Analysis, Opponent Comparison, and Communication Hub. Collapsible menu items provide deeper navigation to specific tools within each section.</w:t>
      </w:r>
    </w:p>
    <w:p>
      <w:pPr>
        <w:spacing w:after="200" w:line="360"/>
        <w:jc w:val="left"/>
      </w:pPr>
      <w:r>
        <w:t xml:space="preserve">Inspinia's widget-based dashboard layout enables customizable command center configurations. Campaign teams can drag widgets (issue trends, top issues, upcoming legislation, etc.) into preferred positions, creating personalized dashboards.</w:t>
      </w:r>
    </w:p>
    <w:p>
      <w:pPr>
        <w:spacing w:after="200" w:line="360"/>
        <w:jc w:val="left"/>
      </w:pPr>
      <w:r>
        <w:t xml:space="preserve">The Admin Panel integrates into Inspinia's admin hierarchy, accessible only to users with campaign manager or administrator roles. Role-based access control ensures data security and appropriate permission levels.</w:t>
      </w:r>
    </w:p>
    <w:p>
      <w:pPr>
        <w:spacing w:after="200" w:line="360"/>
        <w:jc w:val="left"/>
      </w:pPr>
      <w:r>
        <w:t xml:space="preserve">Inspinia's dark/light mode toggle is fully implemented across E07, enabling visual preference customization. Dark mode is optimized for campaign war rooms with reduced eye strain; light mode is optimized for daytime office environments.</w:t>
      </w:r>
    </w:p>
    <w:p>
      <w:pPr>
        <w:spacing w:after="200" w:line="360"/>
        <w:jc w:val="left"/>
      </w:pPr>
      <w:r>
        <w:t xml:space="preserve">Chart and graph visualizations for issue trends, demographic breakdowns, and geographic heat maps leverage Inspinia's charting libraries (Chart.js, ECharts). These visualizations provide intuitive data representation enabling rapid interpretation.</w:t>
      </w:r>
    </w:p>
    <w:p>
      <w:pPr>
        <w:spacing w:after="200" w:line="360"/>
        <w:jc w:val="left"/>
      </w:pPr>
      <w:r>
        <w:t xml:space="preserve">Mobile-responsive design in Inspinia ensures E07 remains functional on tablets and smartphones. Campaign teams accessing E07 during events or travel maintain full functionality on mobile devices.</w:t>
      </w:r>
    </w:p>
    <w:p>
      <w:pPr>
        <w:spacing w:after="200" w:line="360"/>
        <w:jc w:val="left"/>
      </w:pPr>
      <w:r>
        <w:t xml:space="preserve">Inspinia's notification system surfaces E07 alerts (new legislation, issue alerts, trending issues) to users' attention without disrupting workflow. Alerts can be configured by type and urgency level.</w:t>
      </w:r>
    </w:p>
    <w:p>
      <w:pPr>
        <w:spacing w:after="200" w:line="360"/>
        <w:jc w:val="left"/>
      </w:pPr>
      <w:r>
        <w:t xml:space="preserve">The breadcrumb navigation in Inspinia enables users to quickly navigate between related modules. A user viewing an opponent position can quickly navigate to related issue comparisons or communication templates.</w:t>
      </w:r>
    </w:p>
    <w:p>
      <w:pPr>
        <w:spacing w:after="200" w:line="360"/>
        <w:jc w:val="left"/>
      </w:pPr>
      <w:r>
        <w:t xml:space="preserve">Inspinia's table components display complex data (voter demographics, legislative votes, polling data) with sorting, filtering, and export capabilities. Users can quickly find relevant data points within large datasets.</w:t>
      </w:r>
    </w:p>
    <w:p>
      <w:pPr>
        <w:spacing w:after="200" w:line="360"/>
        <w:jc w:val="left"/>
      </w:pPr>
      <w:r>
        <w:t xml:space="preserve">Search functionality integrated throughout Inspinia enables rapid navigation. A user searching "healthcare" quickly locates all healthcare-related issues, positions, communications, and legislation.</w:t>
      </w:r>
    </w:p>
    <w:p>
      <w:pPr>
        <w:spacing w:after="200" w:line="360"/>
        <w:jc w:val="left"/>
      </w:pPr>
      <w:r>
        <w:t xml:space="preserve">The Inspinia framework's built-in security features (CSRF protection, XSS prevention, SQL injection prevention) protect E07 from common security vulnerabilities.</w:t>
      </w:r>
    </w:p>
    <w:p>
      <w:pPr>
        <w:pBdr>
          <w:bottom w:val="single" w:color="auto" w:sz="6" w:space="1"/>
        </w:pBdr>
        <w:spacing w:before="400" w:after="200"/>
      </w:pPr>
      <w:r>
        <w:t xml:space="preserve">SECTION 7: SEARCH/SORT/SAVE/ACTIVATE</w:t>
      </w:r>
    </w:p>
    <w:p>
      <w:pPr>
        <w:spacing w:after="200" w:line="360"/>
        <w:jc w:val="left"/>
      </w:pPr>
      <w:r>
        <w:t xml:space="preserve">The Search/Sort/Save/Activate framework provides granular control over E07 data manipulation and communication deployment. This framework applies across all E07 modules, enabling consistent user experience.</w:t>
      </w:r>
    </w:p>
    <w:p>
      <w:pPr>
        <w:spacing w:after="200" w:line="360"/>
        <w:jc w:val="left"/>
      </w:pPr>
      <w:r>
        <w:t xml:space="preserve">Search functionality enables users to quickly locate issues, communications, legislation, and opponent positions. Full-text search across all fields ensures no relevant data is missed. Saved searches enable users to create custom issue collections (e.g., "economy issues" or "healthcare positions").</w:t>
      </w:r>
    </w:p>
    <w:p>
      <w:pPr>
        <w:spacing w:after="200" w:line="360"/>
        <w:jc w:val="left"/>
      </w:pPr>
      <w:r>
        <w:t xml:space="preserve">Sort functionality enables users to reorder issues by multiple criteria: voter priority, personal position conviction, opponent alignment, recent activity, or communication effectiveness. Different use cases require different sort orders; flexible sorting accommodates varied workflow requirements.</w:t>
      </w:r>
    </w:p>
    <w:p>
      <w:pPr>
        <w:spacing w:after="200" w:line="360"/>
        <w:jc w:val="left"/>
      </w:pPr>
      <w:r>
        <w:t xml:space="preserve">Save functionality enables users to bookmark issues, communications, and analyses for future reference. Saved items are tagged and organized into collections, enabling rapid access to frequently-used resources.</w:t>
      </w:r>
    </w:p>
    <w:p>
      <w:pPr>
        <w:spacing w:after="200" w:line="360"/>
        <w:jc w:val="left"/>
      </w:pPr>
      <w:r>
        <w:t xml:space="preserve">Activate functionality enables rapid deployment of communications. Users select a communication template, customize it for a specific audience or district context, and activate it for immediate deployment across selected channels (email, social media, website).</w:t>
      </w:r>
    </w:p>
    <w:p>
      <w:pPr>
        <w:spacing w:after="200" w:line="360"/>
        <w:jc w:val="left"/>
      </w:pPr>
      <w:r>
        <w:t xml:space="preserve">The activation workflow includes preview functionality, enabling users to review communications before deployment. Mobile preview shows how messages render on smartphones; email preview shows rendering across email clients.</w:t>
      </w:r>
    </w:p>
    <w:p>
      <w:pPr>
        <w:spacing w:after="200" w:line="360"/>
        <w:jc w:val="left"/>
      </w:pPr>
      <w:r>
        <w:t xml:space="preserve">Activation includes scheduling capability, enabling users to schedule messages for future deployment. Campaign teams can prepare a week of messages in advance and schedule them for staggered deployment.</w:t>
      </w:r>
    </w:p>
    <w:p>
      <w:pPr>
        <w:spacing w:after="200" w:line="360"/>
        <w:jc w:val="left"/>
      </w:pPr>
      <w:r>
        <w:t xml:space="preserve">The activation process includes channel selection: users specify which channels receive each message (email list, Facebook, Twitter, Instagram, TikTok, website, SMS). Different audiences receive different channels based on their platform usage patterns.</w:t>
      </w:r>
    </w:p>
    <w:p>
      <w:pPr>
        <w:spacing w:after="200" w:line="360"/>
        <w:jc w:val="left"/>
      </w:pPr>
      <w:r>
        <w:t xml:space="preserve">Activation tracking monitors engagement in real-time. Users see opens, clicks, shares, and conversions as they accumulate, enabling rapid identification of high-performing communications.</w:t>
      </w:r>
    </w:p>
    <w:p>
      <w:pPr>
        <w:spacing w:after="200" w:line="360"/>
        <w:jc w:val="left"/>
      </w:pPr>
      <w:r>
        <w:t xml:space="preserve">A/B testing functionality enables users to deploy message variations to different audience segments, measuring which variations drive highest engagement. A/B test results feed back into E20 for message optimization learning.</w:t>
      </w:r>
    </w:p>
    <w:p>
      <w:pPr>
        <w:spacing w:after="200" w:line="360"/>
        <w:jc w:val="left"/>
      </w:pPr>
      <w:r>
        <w:t xml:space="preserve">The Save functionality includes version control, enabling users to track message evolution over time. Campaign teams can view previous iterations of a message and revert to earlier versions if needed.</w:t>
      </w:r>
    </w:p>
    <w:p>
      <w:pPr>
        <w:spacing w:after="200" w:line="360"/>
        <w:jc w:val="left"/>
      </w:pPr>
      <w:r>
        <w:t xml:space="preserve">Bulk operations enable power users to take actions across multiple issues or communications simultaneously. Users can bulk-tag issues, bulk-schedule communications, or bulk-update position statements.</w:t>
      </w:r>
    </w:p>
    <w:p>
      <w:pPr>
        <w:spacing w:after="200" w:line="360"/>
        <w:jc w:val="left"/>
      </w:pPr>
      <w:r>
        <w:t xml:space="preserve">Export functionality enables users to export issue data, communications, and analytics to spreadsheets, presentations, or reports. Campaign teams use exports to brief stakeholders or conduct external analysis.</w:t>
      </w:r>
    </w:p>
    <w:p>
      <w:pPr>
        <w:spacing w:after="200" w:line="360"/>
        <w:jc w:val="left"/>
      </w:pPr>
      <w:r>
        <w:t xml:space="preserve">Integration with email platforms (Mailchimp, Constant Contact) and social media management tools (Buffer, Hootsuite) enables seamless activation without requiring users to switch platforms. Messages can be composed in E07 and activated directly to external platforms.</w:t>
      </w:r>
    </w:p>
    <w:p>
      <w:pPr>
        <w:spacing w:after="200" w:line="360"/>
        <w:jc w:val="left"/>
      </w:pPr>
      <w:r>
        <w:t xml:space="preserve">Undo functionality enables users to recover from activation mistakes. If a message is deployed incorrectly, users can quickly retrieve it (if it hasn't been sent yet) or schedule a correction message.</w:t>
      </w:r>
    </w:p>
    <w:p>
      <w:pPr>
        <w:pBdr>
          <w:bottom w:val="single" w:color="auto" w:sz="6" w:space="1"/>
        </w:pBdr>
        <w:spacing w:before="400" w:after="200"/>
      </w:pPr>
      <w:r>
        <w:t xml:space="preserve">SECTION 8: CAMPAIGN CHIEF STRATEGIC DIALOGS</w:t>
      </w:r>
    </w:p>
    <w:p>
      <w:pPr>
        <w:spacing w:before="400" w:after="200"/>
      </w:pPr>
      <w:r>
        <w:t xml:space="preserve">Dialog 1: Breaking Legislation Response</w:t>
      </w:r>
    </w:p>
    <w:p>
      <w:pPr>
        <w:spacing w:after="200" w:line="360"/>
        <w:jc w:val="left"/>
      </w:pPr>
      <w:r>
        <w:t xml:space="preserve">Campaign Chief: "Breaking legislation alert: Senate Bill 847 passed with unexpected bipartisan support, providing $2.4B in rural broadband funding. District impact: +847 jobs over 3 years in the construction and IT sectors. Opponent is set to claim credit for securing funding. Recommend immediate response."</w:t>
      </w:r>
    </w:p>
    <w:p>
      <w:pPr>
        <w:spacing w:after="200" w:line="360"/>
        <w:jc w:val="left"/>
      </w:pPr>
      <w:r>
        <w:t xml:space="preserve">Campaign response options presented by Campaign Chief:</w:t>
      </w:r>
    </w:p>
    <w:p>
      <w:pPr>
        <w:spacing w:after="200" w:line="360"/>
        <w:jc w:val="left"/>
      </w:pPr>
      <w:r>
        <w:t xml:space="preserve">(1) Credit-sharing response: "Congratulate bipartisan cooperation, position candidate as advocate who worked with both parties for district benefit."</w:t>
      </w:r>
    </w:p>
    <w:p>
      <w:pPr>
        <w:spacing w:after="200" w:line="360"/>
        <w:jc w:val="left"/>
      </w:pPr>
      <w:r>
        <w:t xml:space="preserve">(2) Proactive positioning: "Issue press release detailing how candidate's previous advocacy contributed to passage, positioning as industry expert."</w:t>
      </w:r>
    </w:p>
    <w:p>
      <w:pPr>
        <w:spacing w:after="200" w:line="360"/>
        <w:jc w:val="left"/>
      </w:pPr>
      <w:r>
        <w:t xml:space="preserve">(3) Benefit-focus communication: "Launch email campaign to construction and IT sector workers highlighting job creation benefits, capturing worker enthusiasm."</w:t>
      </w:r>
    </w:p>
    <w:p>
      <w:pPr>
        <w:spacing w:after="200" w:line="360"/>
        <w:jc w:val="left"/>
      </w:pPr>
      <w:r>
        <w:t xml:space="preserve">(4) Acceleration play: "Announce candidate will advocate for accelerated implementation in district, positioning as go-getter."</w:t>
      </w:r>
    </w:p>
    <w:p>
      <w:pPr>
        <w:spacing w:after="200" w:line="360"/>
        <w:jc w:val="left"/>
      </w:pPr>
      <w:r>
        <w:t xml:space="preserve">Campaign Chief provides recommended timeline: "First response should launch within 4 hours of opponent announcement to establish narrative ownership. Email campaign should deploy to construction/IT workers within 24 hours. Press release should target local and trade media with same-day coordination."</w:t>
      </w:r>
    </w:p>
    <w:p>
      <w:pPr>
        <w:spacing w:after="200" w:line="360"/>
        <w:jc w:val="left"/>
      </w:pPr>
      <w:r>
        <w:t xml:space="preserve">Integration with E07: Campaign Chief links directly to relevant issue (infrastructure development or broadband access), recommending which communication templates apply and which voter segments should receive which messages.</w:t>
      </w:r>
    </w:p>
    <w:p>
      <w:pPr>
        <w:spacing w:after="200" w:line="360"/>
        <w:jc w:val="left"/>
      </w:pPr>
      <w:r>
        <w:t xml:space="preserve">Analytics integration: Campaign Chief tracks which response option the campaign chose and monitors subsequent voter sentiment changes, providing feedback on response effectiveness.</w:t>
      </w:r>
    </w:p>
    <w:p>
      <w:pPr>
        <w:spacing w:after="300"/>
      </w:pPr>
    </w:p>
    <w:p>
      <w:pPr>
        <w:spacing w:before="400" w:after="200"/>
      </w:pPr>
      <w:r>
        <w:t xml:space="preserve">Dialog 2: Issue Positioning Guidance</w:t>
      </w:r>
    </w:p>
    <w:p>
      <w:pPr>
        <w:spacing w:after="200" w:line="360"/>
        <w:jc w:val="left"/>
      </w:pPr>
      <w:r>
        <w:t xml:space="preserve">Campaign Chief: "Your healthcare position shows 68% alignment with district voters, but demographic analysis reveals critical gaps: voters aged 55+ (28% of district) prioritize prescription drug costs, but your position emphasizes insurance coverage. Recommend position statement revision to address drug costs specifically."</w:t>
      </w:r>
    </w:p>
    <w:p>
      <w:pPr>
        <w:spacing w:after="200" w:line="360"/>
        <w:jc w:val="left"/>
      </w:pPr>
      <w:r>
        <w:t xml:space="preserve">Campaign Chief provides specific guidance:</w:t>
      </w:r>
    </w:p>
    <w:p>
      <w:pPr>
        <w:spacing w:after="200" w:line="360"/>
        <w:jc w:val="left"/>
      </w:pPr>
      <w:r>
        <w:t xml:space="preserve">(1) Position revision recommendation: "Add 150-word section on prescription drug cost control, citing specific policies like price negotiation authority and generic encouragement."</w:t>
      </w:r>
    </w:p>
    <w:p>
      <w:pPr>
        <w:spacing w:after="200" w:line="360"/>
        <w:jc w:val="left"/>
      </w:pPr>
      <w:r>
        <w:t xml:space="preserve">(2) Messaging pivot for healthcare communications: "Launch targeted email to healthcare workers and seniors on drug cost issue, using revised position statement."</w:t>
      </w:r>
    </w:p>
    <w:p>
      <w:pPr>
        <w:spacing w:after="200" w:line="360"/>
        <w:jc w:val="left"/>
      </w:pPr>
      <w:r>
        <w:t xml:space="preserve">(3) Opponent vulnerability: "Opponent supported pharmaceutical industry interests in previous role. Contrast opponent as pharma-aligned vs. candidate as cost-control advocate."</w:t>
      </w:r>
    </w:p>
    <w:p>
      <w:pPr>
        <w:spacing w:after="200" w:line="360"/>
        <w:jc w:val="left"/>
      </w:pPr>
      <w:r>
        <w:t xml:space="preserve">(4) Evidence gathering: "Opponent voted against drug price negotiation in committee. Document this vote for counter-arguments to opponent claims."</w:t>
      </w:r>
    </w:p>
    <w:p>
      <w:pPr>
        <w:spacing w:after="200" w:line="360"/>
        <w:jc w:val="left"/>
      </w:pPr>
      <w:r>
        <w:t xml:space="preserve">Campaign Chief provides success metric: "Implementation of these recommendations should increase healthcare position alignment from 68% to 74%, capturing additional 800 persuadable voters."</w:t>
      </w:r>
    </w:p>
    <w:p>
      <w:pPr>
        <w:spacing w:after="200" w:line="360"/>
        <w:jc w:val="left"/>
      </w:pPr>
      <w:r>
        <w:t xml:space="preserve">Integration with E07: Campaign Chief recommends specific communication templates addressing drug costs, provides opponent position comparison highlighting the contrast opportunity, and suggests demographic targeting for healthcare communications.</w:t>
      </w:r>
    </w:p>
    <w:p>
      <w:pPr>
        <w:spacing w:after="200" w:line="360"/>
        <w:jc w:val="left"/>
      </w:pPr>
      <w:r>
        <w:t xml:space="preserve">E20 integration: E20 analyzes the revised position statement for message clarity, consistency with other positions, and potential unintended consequences.</w:t>
      </w:r>
    </w:p>
    <w:p>
      <w:pPr>
        <w:spacing w:after="300"/>
      </w:pPr>
    </w:p>
    <w:p>
      <w:pPr>
        <w:spacing w:before="400" w:after="200"/>
      </w:pPr>
      <w:r>
        <w:t xml:space="preserve">Dialog 3: Opponent Contrast Opportunity</w:t>
      </w:r>
    </w:p>
    <w:p>
      <w:pPr>
        <w:spacing w:after="200" w:line="360"/>
        <w:jc w:val="left"/>
      </w:pPr>
      <w:r>
        <w:t xml:space="preserve">Campaign Chief: "Opponent position analysis reveals critical vulnerability: opponent supports tax increase on corporate income while simultaneously receiving campaign contributions from major corporations. Position contradiction creates attack opportunity."</w:t>
      </w:r>
    </w:p>
    <w:p>
      <w:pPr>
        <w:spacing w:after="200" w:line="360"/>
        <w:jc w:val="left"/>
      </w:pPr>
      <w:r>
        <w:t xml:space="preserve">Campaign Chief outlines strategic options:</w:t>
      </w:r>
    </w:p>
    <w:p>
      <w:pPr>
        <w:spacing w:after="200" w:line="360"/>
        <w:jc w:val="left"/>
      </w:pPr>
      <w:r>
        <w:t xml:space="preserve">(1) Credibility attack: "Launch communications questioning opponent's sincerity, positioning opponent as hypocritical and controlled by donors rather than principle."</w:t>
      </w:r>
    </w:p>
    <w:p>
      <w:pPr>
        <w:spacing w:after="200" w:line="360"/>
        <w:jc w:val="left"/>
      </w:pPr>
      <w:r>
        <w:t xml:space="preserve">(2) Issue reframing: "Reframe tax debate from class warfare to special interest influence, positioning candidate as independent vs. opponent as donor-controlled."</w:t>
      </w:r>
    </w:p>
    <w:p>
      <w:pPr>
        <w:spacing w:after="200" w:line="360"/>
        <w:jc w:val="left"/>
      </w:pPr>
      <w:r>
        <w:t xml:space="preserve">(3) Fundraising messaging: "Launch donor email highlighting opponent's donor hypocrisy, using to drive donations and volunteering from voters who support tax reform."</w:t>
      </w:r>
    </w:p>
    <w:p>
      <w:pPr>
        <w:spacing w:after="200" w:line="360"/>
        <w:jc w:val="left"/>
      </w:pPr>
      <w:r>
        <w:t xml:space="preserve">(4) Coalition-building: "Unite business-friendly voters (usually opponent-leaning) with reform-minded voters against opponent's corruption, building unexpected coalition."</w:t>
      </w:r>
    </w:p>
    <w:p>
      <w:pPr>
        <w:spacing w:after="200" w:line="360"/>
        <w:jc w:val="left"/>
      </w:pPr>
      <w:r>
        <w:t xml:space="preserve">Campaign Chief provides risk assessment: "Credibility attacks risk appearing negative; reframe attacks are higher-impact. Recommend focusing on special interest corruption frame rather than personal hypocrisy frame."</w:t>
      </w:r>
    </w:p>
    <w:p>
      <w:pPr>
        <w:spacing w:after="200" w:line="360"/>
        <w:jc w:val="left"/>
      </w:pPr>
      <w:r>
        <w:t xml:space="preserve">Campaign Chief provides target audience: "Swing voters aged 35-55 earning $75K-$150K care most about special interest influence. Target communications to this demographic showing opponent's donor conflicts."</w:t>
      </w:r>
    </w:p>
    <w:p>
      <w:pPr>
        <w:spacing w:after="200" w:line="360"/>
        <w:jc w:val="left"/>
      </w:pPr>
      <w:r>
        <w:t xml:space="preserve">Integration with E07: Campaign Chief recommends specific opponent comparison communication templates, identifies swing voter audience segments, and recommends timing for contrast communications.</w:t>
      </w:r>
    </w:p>
    <w:p>
      <w:pPr>
        <w:spacing w:after="200" w:line="360"/>
        <w:jc w:val="left"/>
      </w:pPr>
      <w:r>
        <w:t xml:space="preserve">Analytics integration: Campaign Chief tracks opponent position changes, alerting campaign if opponent revises position to address vulnerability (indicating campaign impact).</w:t>
      </w:r>
    </w:p>
    <w:p>
      <w:pPr>
        <w:spacing w:after="300"/>
      </w:pPr>
    </w:p>
    <w:p>
      <w:pPr>
        <w:spacing w:before="400" w:after="200"/>
      </w:pPr>
      <w:r>
        <w:t xml:space="preserve">Dialog 4: District Priority Shift</w:t>
      </w:r>
    </w:p>
    <w:p>
      <w:pPr>
        <w:spacing w:after="200" w:line="360"/>
        <w:jc w:val="left"/>
      </w:pPr>
      <w:r>
        <w:t xml:space="preserve">Campaign Chief: "Significant district priority shift detected: climate action increased from 7th to 3rd priority issue over past 4 weeks. Trend velocity suggests it will become #1 priority within 6 weeks. Current candidate climate position ranks 62% favorable; opponent position ranks 81% favorable. Recommend urgent climate messaging adjustment."</w:t>
      </w:r>
    </w:p>
    <w:p>
      <w:pPr>
        <w:spacing w:after="200" w:line="360"/>
        <w:jc w:val="left"/>
      </w:pPr>
      <w:r>
        <w:t xml:space="preserve">Campaign Chief outlines strategic options:</w:t>
      </w:r>
    </w:p>
    <w:p>
      <w:pPr>
        <w:spacing w:after="200" w:line="360"/>
        <w:jc w:val="left"/>
      </w:pPr>
      <w:r>
        <w:t xml:space="preserve">(1) Rapid position articulation: "Author detailed climate position addressing district-specific concerns (e.g., job transition support for coal workers). Launch via email and social media within 48 hours."</w:t>
      </w:r>
    </w:p>
    <w:p>
      <w:pPr>
        <w:spacing w:after="200" w:line="360"/>
        <w:jc w:val="left"/>
      </w:pPr>
      <w:r>
        <w:t xml:space="preserve">(2) Expertise demonstration: "Commission analysis of candidate's climate track record (e.g., previous environmental votes or statements). Publish as white paper establishing candidate expertise."</w:t>
      </w:r>
    </w:p>
    <w:p>
      <w:pPr>
        <w:spacing w:after="200" w:line="360"/>
        <w:jc w:val="left"/>
      </w:pPr>
      <w:r>
        <w:t xml:space="preserve">(3) Job focus: "Frame climate action through economic lens: "green jobs for district workers," positioning climate not as environmental issue but as economic opportunity. This reframing addresses swing voter hesitation about climate policies."</w:t>
      </w:r>
    </w:p>
    <w:p>
      <w:pPr>
        <w:spacing w:after="200" w:line="360"/>
        <w:jc w:val="left"/>
      </w:pPr>
      <w:r>
        <w:t xml:space="preserve">(4) Opponent differentiation: "Analyze opponent's climate position for gaps or inconsistencies. Highlight how candidate's position better serves district economic needs while addressing climate concerns."</w:t>
      </w:r>
    </w:p>
    <w:p>
      <w:pPr>
        <w:spacing w:after="200" w:line="360"/>
        <w:jc w:val="left"/>
      </w:pPr>
      <w:r>
        <w:t xml:space="preserve">Campaign Chief provides urgency assessment: "With 6-week window before climate becomes top issue, recommend accelerated implementation. Launch position articulation immediately, job-focused messaging within 2 weeks, opponent differentiation within 4 weeks."</w:t>
      </w:r>
    </w:p>
    <w:p>
      <w:pPr>
        <w:spacing w:after="200" w:line="360"/>
        <w:jc w:val="left"/>
      </w:pPr>
      <w:r>
        <w:t xml:space="preserve">Campaign Chief provides success metric: "Implementation should increase climate position favorability from 62% to 72%, reducing opponent's position advantage and capturing persuadable environmental voters."</w:t>
      </w:r>
    </w:p>
    <w:p>
      <w:pPr>
        <w:spacing w:after="200" w:line="360"/>
        <w:jc w:val="left"/>
      </w:pPr>
      <w:r>
        <w:t xml:space="preserve">Integration with E07: Campaign Chief updates Issue Dashboard to show climate as rising priority, recommends moving climate to top of communication calendar, and suggests allocating 30% of messaging budget to climate issue over next 6 weeks.</w:t>
      </w:r>
    </w:p>
    <w:p>
      <w:pPr>
        <w:spacing w:after="200" w:line="360"/>
        <w:jc w:val="left"/>
      </w:pPr>
      <w:r>
        <w:t xml:space="preserve">E20 integration: E20 analyzes climate messaging performance in real-time, providing daily updates on messaging effectiveness and recommendations for message adjustments.</w:t>
      </w:r>
    </w:p>
    <w:p>
      <w:pPr>
        <w:spacing w:after="300"/>
      </w:pPr>
    </w:p>
    <w:p>
      <w:pPr>
        <w:spacing w:after="200" w:line="360"/>
        <w:jc w:val="left"/>
      </w:pPr>
      <w:r>
        <w:t xml:space="preserve">The Campaign Chief dialogs demonstrate how AI-driven strategic guidance integrates with E07 to transform raw campaign data into actionable strategic decisions. Real-time monitoring, vulnerability detection, and priority shift prediction enable campaigns to move from reactive to proactive issue management, maximizing candidate impact and voter persuasion efficiency.</w:t>
      </w:r>
    </w:p>
    <w:p>
      <w:r>
        <w:br w:type="page"/>
      </w:r>
    </w:p>
    <w:p>
      <w:pPr>
        <w:pBdr>
          <w:bottom w:val="single" w:color="auto" w:sz="6" w:space="1"/>
        </w:pBdr>
        <w:spacing w:before="400" w:after="200"/>
      </w:pPr>
      <w:r>
        <w:t xml:space="preserve">CONCLUSION &amp; IMPLEMENTATION ROADMAP</w:t>
      </w:r>
    </w:p>
    <w:p>
      <w:pPr>
        <w:spacing w:after="200" w:line="360"/>
        <w:jc w:val="left"/>
      </w:pPr>
      <w:r>
        <w:t xml:space="preserve">The E07 Issue Tracking ecosystem represents a comprehensive, AI-enhanced approach to campaign issue management. Cloned from ISideWith's proven platform, extended with BroyhillGOP campaign intelligence, and powered by E20 AI analysis, E07 enables candidates and campaign teams to achieve unprecedented issue management sophistication.</w:t>
      </w:r>
    </w:p>
    <w:p>
      <w:pPr>
        <w:spacing w:after="200" w:line="360"/>
        <w:jc w:val="left"/>
      </w:pPr>
      <w:r>
        <w:t xml:space="preserve">The ecosystem's 8-section architecture—App Clone Audit, User Journey, Command Center, Admin Panel, E20 Integration, Inspinia Mapping, Search/Sort/Save/Activate, and Campaign Chief Dialogs—provides complete coverage of issue tracking workflows from data analysis through communication deployment and performance optimization.</w:t>
      </w:r>
    </w:p>
    <w:p>
      <w:pPr>
        <w:spacing w:after="200" w:line="360"/>
        <w:jc w:val="left"/>
      </w:pPr>
      <w:r>
        <w:t xml:space="preserve">Key competitive advantages of E07 include: (1) Real-time issue salience prediction enabling proactive positioning, (2) Demographic issue targeting enabling precision messaging, (3) Opponent vulnerability detection enabling strategic contrast opportunities, (4) Issue-based donor matching enabling fundraising optimization, (5) AI-powered message optimization enabling higher-impact communications, (6) Comprehensive analytics enabling data-driven campaign decisions.</w:t>
      </w:r>
    </w:p>
    <w:p>
      <w:pPr>
        <w:spacing w:after="200" w:line="360"/>
        <w:jc w:val="left"/>
      </w:pPr>
      <w:r>
        <w:t xml:space="preserve">Implementation roadmap for E07 deployment includes: Phase 1 (Weeks 1-4): Core issue database population, candidate position collection, and district polling integration. Phase 2 (Weeks 5-8): Command Center launch with dashboard, my positions, and district analysis. Phase 3 (Weeks 9-12): E20 Brain integration with issue salience prediction and message optimization. Phase 4 (Weeks 13-16): Admin Panel and analytics launch with full performance tracking.</w:t>
      </w:r>
    </w:p>
    <w:p>
      <w:pPr>
        <w:spacing w:after="200" w:line="360"/>
        <w:jc w:val="left"/>
      </w:pPr>
      <w:r>
        <w:t xml:space="preserve">Integration with existing BroyhillGOP systems includes: Campaign Finance module (issue-based donor matching), Voter File system (demographic issue targeting), Email platform (communication deployment), Social Media management (multi-platform activation), Event management (event attendance by issue), and Volunteer management (issue-based volunteer recruitment).</w:t>
      </w:r>
    </w:p>
    <w:p>
      <w:pPr>
        <w:spacing w:after="200" w:line="360"/>
        <w:jc w:val="left"/>
      </w:pPr>
      <w:r>
        <w:t xml:space="preserve">Success metrics for E07 include: (1) Campaign decision velocity: time from issue emergence to candidate position articulation, (2) Message effectiveness: engagement rates and conversion rates for issue-based communications, (3) Voter persuasion: alignment score improvements over campaign cycle, (4) Fundraising efficiency: revenue-per-communication and donor retention by issue, (5) Volunteer engagement: volunteer signup rates and retention by issue focus.</w:t>
      </w:r>
    </w:p>
    <w:p>
      <w:pPr>
        <w:spacing w:after="200" w:line="360"/>
        <w:jc w:val="left"/>
      </w:pPr>
      <w:r>
        <w:t xml:space="preserve">Continuous improvement processes will be built into E07 from launch. A/B testing of messages, demographic targeting experiments, and issue framing variations will continuously feed learnings back into message templates and E20 optimization algorithms. Monthly reporting to campaign leadership will track KPIs and identify optimization opportunities.</w:t>
      </w:r>
    </w:p>
    <w:p>
      <w:pPr>
        <w:spacing w:after="200" w:line="360"/>
        <w:jc w:val="left"/>
      </w:pPr>
      <w:r>
        <w:t xml:space="preserve">The E07 Issue Tracking ecosystem positions campaigns for superior issue management, voter persuasion, and strategic execution in modern political environment where message precision, real-time responsiveness, and data-driven decision-making separate winning campaigns from unsuccessful ones.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2026-02-17T05:06:44.947Z</dcterms:created>
  <dcterms:modified xsi:type="dcterms:W3CDTF">2026-02-17T05:06:44.947Z</dcterms:modified>
</cp:coreProperties>
</file>

<file path=docProps/custom.xml><?xml version="1.0" encoding="utf-8"?>
<Properties xmlns="http://schemas.openxmlformats.org/officeDocument/2006/custom-properties" xmlns:vt="http://schemas.openxmlformats.org/officeDocument/2006/docPropsVTypes"/>
</file>