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E21 MACHINE LEARNING ECOSYSTEM</w:t>
      </w:r>
    </w:p>
    <w:p>
      <w:pPr>
        <w:spacing w:after="600"/>
        <w:jc w:val="center"/>
      </w:pPr>
      <w:r>
        <w:t xml:space="preserve">A DataRobot-Inspired Automated ML Platform for Political Intelligence</w:t>
      </w:r>
    </w:p>
    <w:p>
      <w:pPr>
        <w:spacing w:after="1200"/>
        <w:jc w:val="center"/>
      </w:pPr>
      <w:r>
        <w:t xml:space="preserve">Powering the E20 Brain</w:t>
      </w:r>
    </w:p>
    <w:p>
      <w:r>
        <w:br w:type="page"/>
      </w:r>
    </w:p>
    <w:p>
      <w:pPr>
        <w:pStyle w:val="Heading1"/>
        <w:spacing w:after="400" w:before="200"/>
      </w:pPr>
      <w:r>
        <w:t xml:space="preserve">SECTION 1: APP CLONE AUDIT — DataRobot Foundation</w:t>
      </w:r>
    </w:p>
    <w:p>
      <w:pPr>
        <w:pStyle w:val="Heading2"/>
        <w:spacing w:after="200"/>
      </w:pPr>
      <w:r>
        <w:t xml:space="preserve">Overview: E21 as a DataRobot Clone</w:t>
      </w:r>
    </w:p>
    <w:p>
      <w:r>
        <w:t xml:space="preserve">E21 Machine Learning Ecosystem is architected as a comprehensive clone of DataRobot's automated machine learning platform, specifically tailored for political intelligence applications. DataRobot revolutionized enterprise ML by automating model building, feature engineering, and deployment at scale. E21 adopts this proven architecture while mapping DataRobot's core capabilities to the unique demands of political campaign analytics, voter engagement prediction, and donor intelligence.</w:t>
      </w:r>
    </w:p>
    <w:p>
      <w:r>
        <w:t xml:space="preserve">The foundation of E21 mirrors DataRobot's end-to-end ML pipeline: automated model building with hyperparameter tuning, advanced feature engineering with domain knowledge injection, ensemble methods combining multiple model types, comprehensive model monitoring with drift detection, and production-grade prediction serving. Like DataRobot, E21 eliminates the need for specialized data scientists by automating the most complex and time-consuming aspects of machine learning workflows.</w:t>
      </w:r>
    </w:p>
    <w:p>
      <w:r>
        <w:t xml:space="preserve">DataRobot's strength lies in its model leaderboard—a dynamic ranking of competing algorithms based on cross-validation performance. E21 implements this same approach, automatically training dozens of model configurations (linear regression, random forests, gradient boosting, neural networks, support vector machines) and ranking them by predictive power. This democratizes access to state-of-the-art ML without requiring deep expertise.</w:t>
      </w:r>
    </w:p>
    <w:p>
      <w:r>
        <w:t xml:space="preserve">The E21 platform extends DataRobot's capabilities by incorporating domain-specific features critical to political intelligence: voter behavior signals, donor lifecycle metrics, campaign response indicators, and constituency-level demographic contexts. Where DataRobot serves financial services, healthcare, and manufacturing, E21 is purpose-built for the political domain.</w:t>
      </w:r>
    </w:p>
    <w:p>
      <w:pPr>
        <w:pStyle w:val="Heading2"/>
        <w:spacing w:after="200" w:before="300"/>
      </w:pPr>
      <w:r>
        <w:t xml:space="preserve">DataRobot Feature Set — E21 Equivalent Capabilities</w:t>
      </w:r>
    </w:p>
    <w:p>
      <w:r>
        <w:t xml:space="preserve">Automated ML Model Building: DataRobot automatically builds hundreds of models using different algorithms, feature sets, and hyperparameters. E21 replicates this by generating competing models for each political prediction task. For Donor Propensity Scoring, E21 trains logistic regression, random forest, XGBoost, LightGBM, and neural network variants, each optimized for predicting donation probability. The system evaluates each model's precision, recall, F1-score, and AUC-ROC to ensure balanced performance across false positives and false negatives.</w:t>
      </w:r>
    </w:p>
    <w:p>
      <w:r>
        <w:t xml:space="preserve">Advanced Feature Engineering: DataRobot's feature engineering automatically derives new predictors from raw data—polynomial features, interactions, temporal aggregations, and categorical encodings. E21 implements sophisticated feature engineering for political data: rolling windows of engagement over 30, 90, and 180 days; interaction features crossing donor age with median donation amount; time-decay weighted recency scores; and encoded categorical features from issue preferences, communication channel preferences, and geographic attributes.</w:t>
      </w:r>
    </w:p>
    <w:p>
      <w:r>
        <w:t xml:space="preserve">Model Training Pipeline: DataRobot orchestrates distributed training across hundreds of models using early stopping, cross-validation, and ensemble stacking. E21's training pipeline manages Voter Turnout Prediction models spanning logistic regression baselines, tree-based ensembles, and gradient boosting machines. The system implements stratified k-fold cross-validation to ensure models generalize across different voter demographics and geographic regions.</w:t>
      </w:r>
    </w:p>
    <w:p>
      <w:r>
        <w:t xml:space="preserve">Model Deployment &amp; Versioning: DataRobot packages trained models with containerization, scaling, and API endpoints. E21 deploys models as containerized microservices accessible through REST APIs, enabling E20 Brain to invoke predictions for millions of voters during campaign cycles. Model versioning ensures that prediction logic remains reproducible and auditable.</w:t>
      </w:r>
    </w:p>
    <w:p>
      <w:r>
        <w:t xml:space="preserve">Prediction Serving at Scale: DataRobot serves predictions in real-time and batch modes, handling millions of requests per day. E21's prediction service processes both real-time queries (a voter just registered—what's their turnout likelihood?) and batch predictions (score all 500,000 voters in this district). The system maintains sub-100ms latency for real-time predictions.</w:t>
      </w:r>
    </w:p>
    <w:p>
      <w:r>
        <w:t xml:space="preserve">Comprehensive Model Monitoring: DataRobot monitors model drift, data drift, and prediction distribution shifts to trigger retraining when necessary. E21 continuously monitors whether Churn Risk Models maintain accuracy as voter preferences evolve. When drift is detected, E21 automatically initiates retraining using the latest available data.</w:t>
      </w:r>
    </w:p>
    <w:p>
      <w:pPr>
        <w:pStyle w:val="Heading2"/>
        <w:spacing w:after="200" w:before="300"/>
      </w:pPr>
      <w:r>
        <w:t xml:space="preserve">Advanced Capabilities: Explainability, Bias Detection, Specialized Domains</w:t>
      </w:r>
    </w:p>
    <w:p>
      <w:r>
        <w:t xml:space="preserve">Model Explainability (SHAP &amp; LIME): DataRobot integrates SHAP (SHapley Additive exPlanations) and LIME (Local Interpretable Model-agnostic Explanations) to explain individual predictions. E21 leverages these same interpretability methods to explain why a voter was scored as "high turnout" or a donor as "high churn risk." For each prediction, the system calculates SHAP values showing which features most influenced the outcome.</w:t>
      </w:r>
    </w:p>
    <w:p>
      <w:r>
        <w:t xml:space="preserve">Bias Detection &amp; Fairness Metrics: DataRobot includes fairness analysis detecting whether models discriminate against protected groups. E21 implements similar bias detection to ensure Voter Turnout Prediction and Donation Amount Prediction models perform equitably across racial, ethnic, age, and gender groups. The system calculates disparate impact ratios, equalized odds, and demographic parity metrics.</w:t>
      </w:r>
    </w:p>
    <w:p>
      <w:r>
        <w:t xml:space="preserve">Time Series Forecasting: DataRobot supports time series models for forecasting trends over time. E21 applies time series methods to Issue Salience Forecasting, predicting whether immigration, economy, or healthcare will dominate voter concern over the next 30, 60, 90 days. Models use ARIMA, exponential smoothing, and Prophet to capture seasonal patterns.</w:t>
      </w:r>
    </w:p>
    <w:p>
      <w:r>
        <w:t xml:space="preserve">Classification Models: E21 extensively uses classification to predict binary and multi-class outcomes. Campaign Response Prediction classifies voters as "likely responders," "unlikely responders," or "persuadable." Event Attendance Prediction classifies prospective event attendees as "will attend," "might attend," or "unlikely to attend."</w:t>
      </w:r>
    </w:p>
    <w:p>
      <w:r>
        <w:t xml:space="preserve">Regression Models: E21 uses regression to predict continuous values like Donation Amount Prediction (predicting dollar amount a donor will give) and Issue Salience Forecasting intensity scores. Regression models output point estimates and confidence intervals.</w:t>
      </w:r>
    </w:p>
    <w:p>
      <w:r>
        <w:t xml:space="preserve">Clustering Models: E21 applies unsupervised clustering to discover voter and donor segments automatically. Rather than manually defining segments, clustering algorithms (k-means, hierarchical clustering, DBSCAN) identify natural groupings in the voter/donor population.</w:t>
      </w:r>
    </w:p>
    <w:p>
      <w:r>
        <w:t xml:space="preserve">Anomaly Detection: E21 uses anomaly detection to identify unusual voter/donor behavior: sudden withdrawal of long-time donors, unexpected turnout patterns, atypical communication engagement. These anomalies trigger investigation and may indicate data quality issues.</w:t>
      </w:r>
    </w:p>
    <w:p>
      <w:r>
        <w:t xml:space="preserve">NLP &amp; Text Analytics: E21 incorporates natural language processing for Sentiment Analysis on voter/donor communications, comments, and social media. The system uses transformer models (BERT, GPT-2) and traditional NLP pipelines to classify sentiment as positive, negative, or neutral.</w:t>
      </w:r>
    </w:p>
    <w:p>
      <w:r>
        <w:t xml:space="preserve">Computer Vision: E21 applies computer vision to analyze campaign materials, event photos, and visual content performance. The system can classify image sentiment, detect faces and demographics, and measure visual engagement signals.</w:t>
      </w:r>
    </w:p>
    <w:p>
      <w:r>
        <w:t xml:space="preserve">Ensemble Methods: DataRobot combines multiple models into ensembles achieving superior performance. E21 uses stacking, blending, and weighted averaging to combine logistic regression, tree-based, and neural network models. Ensemble predictions often outperform any individual model.</w:t>
      </w:r>
    </w:p>
    <w:p>
      <w:r>
        <w:t xml:space="preserve">Hyperparameter Tuning: DataRobot automatically searches the hyperparameter space using grid search, random search, and Bayesian optimization. E21 uses similar approaches to optimize learning rates, tree depths, regularization parameters, and ensemble weights.</w:t>
      </w:r>
    </w:p>
    <w:p>
      <w:r>
        <w:t xml:space="preserve">Data Preparation &amp; Cleaning: DataRobot handles missing values, outliers, categorical encoding, and feature scaling automatically. E21 implements robust data preparation: missing value imputation using k-nearest neighbors or multiple imputation; outlier detection and handling; one-hot encoding for categorical features.</w:t>
      </w:r>
    </w:p>
    <w:p>
      <w:pPr>
        <w:pStyle w:val="Heading2"/>
        <w:spacing w:after="200" w:before="300"/>
      </w:pPr>
      <w:r>
        <w:t xml:space="preserve">Mapping DataRobot Capabilities to Political Use Cases</w:t>
      </w:r>
    </w:p>
    <w:p>
      <w:r>
        <w:t xml:space="preserve">Donor Propensity Scoring uses classification and logistic regression to predict the probability each person will donate within the next 90 days. E21 trains models on historical donor data: past giving amounts, recency, frequency, monetary value, event attendance, email engagement, issue alignment. The model outputs a propensity score (0-100) enabling prioritization of outreach.</w:t>
      </w:r>
    </w:p>
    <w:p>
      <w:r>
        <w:t xml:space="preserve">Voter Turnout Prediction applies supervised classification to estimate each registered voter's likelihood of voting in an upcoming election. Features include: past voting history, registration recency, age, address changes, party affiliation, communication engagement, event attendance, issue salience alignment. The system trains separate models for primary and general elections.</w:t>
      </w:r>
    </w:p>
    <w:p>
      <w:r>
        <w:t xml:space="preserve">Churn Risk Models predict which donors or volunteers are at risk of disengagement. Features include engagement frequency decline, communication responsiveness, donation trend, event attendance gaps, issue interest shifts. Classification models output risk scores enabling proactive retention efforts.</w:t>
      </w:r>
    </w:p>
    <w:p>
      <w:r>
        <w:t xml:space="preserve">Donation Amount Prediction uses regression to forecast how much a donor will contribute in their next gift. Models leverage giving history, wealth indicators, recent campaign involvement, constituent relationships, and issue passion scores. Regression models output point predictions and confidence intervals.</w:t>
      </w:r>
    </w:p>
    <w:p>
      <w:r>
        <w:t xml:space="preserve">Volunteer Retention Prediction classifies volunteers as "likely to return," "at risk," or "likely to churn" based on engagement patterns, event attendance, communication responsiveness, and role satisfaction indicators. These predictions enable targeted retention interventions.</w:t>
      </w:r>
    </w:p>
    <w:p>
      <w:r>
        <w:t xml:space="preserve">Campaign Response Prediction estimates how likely each voter will respond positively to specific campaign messages. Multi-class classification models distinguish between "likely responders," "persuadable," and "unlikely responders." Models can be issue-specific or message-specific.</w:t>
      </w:r>
    </w:p>
    <w:p>
      <w:r>
        <w:t xml:space="preserve">Issue Salience Forecasting uses time series models to predict which issues will dominate voter concern. ARIMA and Prophet models identify seasonal patterns and predict 30, 60, 90-day issue importance rankings. This enables campaign messaging alignment with voter priorities.</w:t>
      </w:r>
    </w:p>
    <w:p>
      <w:r>
        <w:t xml:space="preserve">Opponent Vulnerability Scoring ranks opponent weaknesses leveraging opposition research data, news sentiment, debate performance metrics, polling trends. Models identify which vulnerabilities resonate with different voter segments.</w:t>
      </w:r>
    </w:p>
    <w:p>
      <w:r>
        <w:t xml:space="preserve">Event Attendance Prediction classifies prospective event attendees using RSVP behavior, past attendance, communication engagement, interest in speakers/topics, calendar availability signals. This enables accurate crowd projection and targeted event promotion.</w:t>
      </w:r>
    </w:p>
    <w:p>
      <w:r>
        <w:t xml:space="preserve">Communication Optimization predicts optimal times, channels, and message framing for each voter/donor. Multi-armed bandit algorithms and propensity models learn which communication approaches drive engagement for different segments.</w:t>
      </w:r>
    </w:p>
    <w:p>
      <w:r>
        <w:t xml:space="preserve">Donor-Candidate Matching (PRIME algorithm) uses collaborative filtering and content-based recommendation to match donors with candidates sharing issue alignment, geographic proximity, and influence potential. The PRIME algorithm outputs compatibility scores.</w:t>
      </w:r>
    </w:p>
    <w:p>
      <w:r>
        <w:t xml:space="preserve">Sentiment Analysis applies NLP to voter/donor communications, social media, event feedback, and survey responses. Transformer models classify sentiment polarity and extract topic-specific sentiment. Time series sentiment tracking reveals opinion shifts.</w:t>
      </w:r>
    </w:p>
    <w:p>
      <w:r>
        <w:t xml:space="preserve">Content Performance Prediction estimates how different content types (videos, articles, infographics, social posts) will perform with specific audience segments. Models leverage engagement history, topic relevance, format preferences, distribution channel, and timing.</w:t>
      </w:r>
    </w:p>
    <w:p>
      <w:r>
        <w:br w:type="page"/>
      </w:r>
    </w:p>
    <w:p>
      <w:pPr>
        <w:pStyle w:val="Heading1"/>
        <w:spacing w:after="400" w:before="200"/>
      </w:pPr>
      <w:r>
        <w:t xml:space="preserve">SECTION 2: USER JOURNEY — E21 Behind the Scenes</w:t>
      </w:r>
    </w:p>
    <w:p>
      <w:pPr>
        <w:pStyle w:val="Heading2"/>
        <w:spacing w:after="200"/>
      </w:pPr>
      <w:r>
        <w:t xml:space="preserve">Architecture: E21 as E20's Hidden Engine</w:t>
      </w:r>
    </w:p>
    <w:p>
      <w:r>
        <w:t xml:space="preserve">E21 Machine Learning Ecosystem operates as the computational backbone powering E20 Brain—the intelligent decision support system that campaigns use. This separation of concerns is architecturally elegant: E20 Brain handles user interaction, visualization, and strategic guidance; E21 handles all machine learning inference, model management, and prediction serving.</w:t>
      </w:r>
    </w:p>
    <w:p>
      <w:r>
        <w:t xml:space="preserve">This architecture mirrors how DataRobot serves enterprise applications: the platform trains and manages models invisible to end users, but every business outcome depends on model predictions. E21 similarly operates behind E20's interface, scoring voters and donors in real-time as campaigns engage their constituents.</w:t>
      </w:r>
    </w:p>
    <w:p>
      <w:r>
        <w:t xml:space="preserve">The data flow is unidirectional for end users: campaigns input actions (voter contacted, donor contacted, event attended) into E20 Brain, E20 fetches predictions from E21, and E20 displays results and recommendations. The campaign team never directly accesses E21. They experience only the surfaced intelligence: "This voter is 87% likely to turn out" or "This donor is high-value, prioritize outreach."</w:t>
      </w:r>
    </w:p>
    <w:p>
      <w:pPr>
        <w:pStyle w:val="Heading2"/>
        <w:spacing w:after="200" w:before="300"/>
      </w:pPr>
      <w:r>
        <w:t xml:space="preserve">Admin Access: Model Performance Visibility</w:t>
      </w:r>
    </w:p>
    <w:p>
      <w:r>
        <w:t xml:space="preserve">While E20 Brain users (candidates, campaign managers, volunteers) see only predictions and recommendations, campaign administrators have deeper visibility into E21's model operations. Admins access a dedicated Admin Panel displaying comprehensive model performance metrics.</w:t>
      </w:r>
    </w:p>
    <w:p>
      <w:r>
        <w:t xml:space="preserve">Admin Dashboard shows: Current active models and their accuracy metrics, Prediction volume processed, Feature importance rankings showing which inputs most influence outputs, Drift detection alerts indicating when model performance degrades, Retraining schedules and status. This admin visibility enables campaign leadership to understand whether predictions are reliable.</w:t>
      </w:r>
    </w:p>
    <w:p>
      <w:r>
        <w:t xml:space="preserve">Accuracy Metrics display precision, recall, F1-score, ROC-AUC, and custom business metrics. These metrics show whether models are calibrated and reliable. A model with 85% accuracy is trustworthy; a model with declining accuracy requires investigation.</w:t>
      </w:r>
    </w:p>
    <w:p>
      <w:r>
        <w:t xml:space="preserve">Prediction Confidence scores accompany every prediction, showing how confident the model is in its output. A voter turnout prediction with 92% confidence is stronger than one with 58% confidence. Admins monitor confidence distributions to understand prediction reliability.</w:t>
      </w:r>
    </w:p>
    <w:p>
      <w:r>
        <w:t xml:space="preserve">Feature Importance rankings reveal which inputs most influence model decisions. For Donor Propensity Scoring, past donation amount may rank #1, donation frequency #2, event attendance #3. These rankings validate that the model learned sensible patterns.</w:t>
      </w:r>
    </w:p>
    <w:p>
      <w:r>
        <w:t xml:space="preserve">Drift Detection alerts warn when model performance degrades, feature distributions shift, or prediction patterns change. If voter turnout model accuracy drops from 82% to 74%, drift detection triggers a retraining recommendation. This enables proactive model maintenance.</w:t>
      </w:r>
    </w:p>
    <w:p>
      <w:pPr>
        <w:pStyle w:val="Heading2"/>
        <w:spacing w:after="200" w:before="300"/>
      </w:pPr>
      <w:r>
        <w:t xml:space="preserve">Candidate &amp; Campaign Manager Experience</w:t>
      </w:r>
    </w:p>
    <w:p>
      <w:r>
        <w:t xml:space="preserve">Candidates and campaign managers interact exclusively with E20 Brain's user interface. E20 Brain consumes E21's predictions and translates them into actionable intelligence.</w:t>
      </w:r>
    </w:p>
    <w:p>
      <w:r>
        <w:t xml:space="preserve">A candidate opening the E20 dashboard sees: "Voter Engagement Scorecard" showing top 100 voters ranked by engagement likelihood. "Donor Pipeline" showing prospects ranked by propensity and predicted donation amount. "Event Planning" showing predicted attendance. "Issue Trends" showing which issues are gaining salience. "Communication Recommendations" suggesting optimal timing and channel.</w:t>
      </w:r>
    </w:p>
    <w:p>
      <w:r>
        <w:t xml:space="preserve">None of these interfaces expose model names, hyperparameters, feature engineering details, or probability scores. Instead, E20 Brain visualizes predictions as scores, rankings, and semantic categories. A voter is "Highly Likely Turnout" (not 0.87 probability), "High Value Donor" (not $4,200 predicted donation).</w:t>
      </w:r>
    </w:p>
    <w:p>
      <w:r>
        <w:t xml:space="preserve">Scores are color-coded, sorted, and presented with confidence indicators. Green = high confidence, Yellow = moderate confidence, Orange = low confidence / requires manual review. This visual grammar makes predictions accessible to non-technical campaign staff.</w:t>
      </w:r>
    </w:p>
    <w:p>
      <w:r>
        <w:t xml:space="preserve">When a campaign manager clicks a voter card, E20 shows "Why this score?" with a human-readable explanation: "High Turnout prediction driven by: voted in last 3 elections (strongest signal), high email engagement (strong signal), age 35-54 (moderate signal)." These explanations derive from SHAP values.</w:t>
      </w:r>
    </w:p>
    <w:p>
      <w:r>
        <w:t xml:space="preserve">E20 Brain never shows probability values, model names, or technical ML jargon. It translates E21's predictions into strategic language: propensity scores become "likelihood," regression predictions become "expected value," classification probabilities become "confidence levels."</w:t>
      </w:r>
    </w:p>
    <w:p>
      <w:r>
        <w:t xml:space="preserve">Campaign managers make decisions informed by E21's models without understanding machine learning. Every strategic decision is ultimately informed by E21 ML models, but appears to the campaign as intelligent guidance.</w:t>
      </w:r>
    </w:p>
    <w:p>
      <w:pPr>
        <w:pStyle w:val="Heading2"/>
        <w:spacing w:after="200" w:before="300"/>
      </w:pPr>
      <w:r>
        <w:t xml:space="preserve">Real-Time Prediction Flow</w:t>
      </w:r>
    </w:p>
    <w:p>
      <w:r>
        <w:t xml:space="preserve">When E20 Brain requests a voter's propensity score, E21's prediction service processes the request in milliseconds: lookup voter's features (past donations, engagement, demographics, issue interests), run through the active propensity model, return probability score and top 3 feature attributions, E20 translates score into "High/Medium/Low Value Donor" category.</w:t>
      </w:r>
    </w:p>
    <w:p>
      <w:r>
        <w:t xml:space="preserve">Batch prediction processing handles larger requests: "Score all 50,000 voters in District 7" is submitted as a batch job, queued in the prediction pipeline, processed across parallel compute resources, results cached for E20 queries. Batch predictions complete in minutes.</w:t>
      </w:r>
    </w:p>
    <w:p>
      <w:r>
        <w:t xml:space="preserve">The prediction service maintains multiple active models simultaneously: separate models for donor propensity, voter turnout, churn risk, issue salience, etc. Requests route to the appropriate model. E21 manages model versioning so predictions remain reproducible and auditable.</w:t>
      </w:r>
    </w:p>
    <w:p>
      <w:r>
        <w:br w:type="page"/>
      </w:r>
    </w:p>
    <w:p>
      <w:pPr>
        <w:pStyle w:val="Heading1"/>
        <w:spacing w:after="400" w:before="200"/>
      </w:pPr>
      <w:r>
        <w:t xml:space="preserve">SECTION 3: COMMAND CENTER — Model Dashboard &amp; Operations</w:t>
      </w:r>
    </w:p>
    <w:p>
      <w:pPr>
        <w:pStyle w:val="Heading2"/>
        <w:spacing w:after="200" w:before="300"/>
      </w:pPr>
      <w:r>
        <w:t xml:space="preserve">Model Dashboard Overview</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pPr>
        <w:pStyle w:val="Heading2"/>
        <w:spacing w:after="200" w:before="300"/>
      </w:pPr>
      <w:r>
        <w:t xml:space="preserve">Active Models View</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pPr>
        <w:pStyle w:val="Heading2"/>
        <w:spacing w:after="200" w:before="300"/>
      </w:pPr>
      <w:r>
        <w:t xml:space="preserve">Training Queue &amp; Pipeline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pPr>
        <w:pStyle w:val="Heading2"/>
        <w:spacing w:after="200" w:before="300"/>
      </w:pPr>
      <w:r>
        <w:t xml:space="preserve">Prediction Pipeline &amp; Serving</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pPr>
        <w:pStyle w:val="Heading2"/>
        <w:spacing w:after="200" w:before="300"/>
      </w:pPr>
      <w:r>
        <w:t xml:space="preserve">Feature Store &amp; Data Foundation</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br w:type="page"/>
      </w:r>
    </w:p>
    <w:p>
      <w:pPr>
        <w:pStyle w:val="Heading1"/>
        <w:spacing w:after="400" w:before="200"/>
      </w:pPr>
      <w:r>
        <w:t xml:space="preserve">SECTION 4: ADMIN PANEL — Performance &amp; Monitoring</w:t>
      </w:r>
    </w:p>
    <w:p>
      <w:pPr>
        <w:pStyle w:val="Heading2"/>
        <w:spacing w:after="200" w:before="300"/>
      </w:pPr>
      <w:r>
        <w:t xml:space="preserve">Model Accuracy Analysis</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r>
        <w:t xml:space="preserve">Explainability features ensure that predictions are transparent and auditable for stakeholders.</w:t>
      </w:r>
    </w:p>
    <w:p>
      <w:pPr>
        <w:pStyle w:val="Heading2"/>
        <w:spacing w:after="200" w:before="300"/>
      </w:pPr>
      <w:r>
        <w:t xml:space="preserve">Prediction Volume &amp; Distribution</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pPr>
        <w:pStyle w:val="Heading2"/>
        <w:spacing w:after="200" w:before="300"/>
      </w:pPr>
      <w:r>
        <w:t xml:space="preserve">Feature Importance &amp; Interpretability</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pPr>
        <w:pStyle w:val="Heading2"/>
        <w:spacing w:after="200" w:before="300"/>
      </w:pPr>
      <w:r>
        <w:t xml:space="preserve">Drift Detection &amp; Model Degradation</w:t>
      </w:r>
    </w:p>
    <w:p>
      <w:r>
        <w:t xml:space="preserve">The dashboard displays accuracy metrics, prediction volume, and drift detection alerts in real-time.</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pPr>
        <w:pStyle w:val="Heading2"/>
        <w:spacing w:after="200" w:before="300"/>
      </w:pPr>
      <w:r>
        <w:t xml:space="preserve">Retraining Schedule &amp; History</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pPr>
        <w:pStyle w:val="Heading2"/>
        <w:spacing w:after="200" w:before="300"/>
      </w:pPr>
      <w:r>
        <w:t xml:space="preserve">Data Quality &amp; Feature Monitoring</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br w:type="page"/>
      </w:r>
    </w:p>
    <w:p>
      <w:pPr>
        <w:pStyle w:val="Heading1"/>
        <w:spacing w:after="400" w:before="200"/>
      </w:pPr>
      <w:r>
        <w:t xml:space="preserve">SECTION 5: E20 BRAIN INTEGRATION — Engine Architecture</w:t>
      </w:r>
    </w:p>
    <w:p>
      <w:pPr>
        <w:pStyle w:val="Heading2"/>
        <w:spacing w:after="200" w:before="300"/>
      </w:pPr>
      <w:r>
        <w:t xml:space="preserve">E21 as E20's ML Engine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pPr>
        <w:pStyle w:val="Heading2"/>
        <w:spacing w:after="200" w:before="300"/>
      </w:pPr>
      <w:r>
        <w:t xml:space="preserve">API Contracts &amp; Prediction Endpoints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pPr>
        <w:pStyle w:val="Heading2"/>
        <w:spacing w:after="200" w:before="300"/>
      </w:pPr>
      <w:r>
        <w:t xml:space="preserve">Real-Time Prediction Flow in Campaign Operations</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pPr>
        <w:pStyle w:val="Heading2"/>
        <w:spacing w:after="200" w:before="300"/>
      </w:pPr>
      <w:r>
        <w:t xml:space="preserve">Data Flow: Campaign Actions Feed Model Training</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pPr>
        <w:pStyle w:val="Heading2"/>
        <w:spacing w:after="200" w:before="300"/>
      </w:pPr>
      <w:r>
        <w:t xml:space="preserve">Model Versioning &amp; Canary Deployments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pPr>
        <w:pStyle w:val="Heading2"/>
        <w:spacing w:after="200" w:before="300"/>
      </w:pPr>
      <w:r>
        <w:t xml:space="preserve">Explainability for Campaign Stakeholders</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pPr>
        <w:pStyle w:val="Heading2"/>
        <w:spacing w:after="200" w:before="300"/>
      </w:pPr>
      <w:r>
        <w:t xml:space="preserve">Audit &amp; Compliance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br w:type="page"/>
      </w:r>
    </w:p>
    <w:p>
      <w:pPr>
        <w:pStyle w:val="Heading1"/>
        <w:spacing w:after="400" w:before="200"/>
      </w:pPr>
      <w:r>
        <w:t xml:space="preserve">SECTION 6: INSPINIA MAPPING — UI Framework Alignment</w:t>
      </w:r>
    </w:p>
    <w:p>
      <w:pPr>
        <w:pStyle w:val="Heading2"/>
        <w:spacing w:after="200" w:before="300"/>
      </w:pPr>
      <w:r>
        <w:t xml:space="preserve">Inspinia as E21 Administrative Interface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pPr>
        <w:pStyle w:val="Heading2"/>
        <w:spacing w:after="200" w:before="300"/>
      </w:pPr>
      <w:r>
        <w:t xml:space="preserve">E21 Dashboard UI Components</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pPr>
        <w:pStyle w:val="Heading2"/>
        <w:spacing w:after="200" w:before="300"/>
      </w:pPr>
      <w:r>
        <w:t xml:space="preserve">Navigation &amp; Information Architecture</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pPr>
        <w:pStyle w:val="Heading2"/>
        <w:spacing w:after="200" w:before="300"/>
      </w:pPr>
      <w:r>
        <w:t xml:space="preserve">Real-Time Dashboards &amp; Alerting</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pPr>
        <w:pStyle w:val="Heading2"/>
        <w:spacing w:after="200" w:before="300"/>
      </w:pPr>
      <w:r>
        <w:t xml:space="preserve">Mobile &amp; Responsive Design</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br w:type="page"/>
      </w:r>
    </w:p>
    <w:p>
      <w:pPr>
        <w:pStyle w:val="Heading1"/>
        <w:spacing w:after="400" w:before="200"/>
      </w:pPr>
      <w:r>
        <w:t xml:space="preserve">SECTION 7: SSSA — Statistical Service Architecture</w:t>
      </w:r>
    </w:p>
    <w:p>
      <w:pPr>
        <w:pStyle w:val="Heading2"/>
        <w:spacing w:after="200" w:before="300"/>
      </w:pPr>
      <w:r>
        <w:t xml:space="preserve">SSHA Overview: Statistical Computing Layer</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pPr>
        <w:pStyle w:val="Heading2"/>
        <w:spacing w:after="200" w:before="300"/>
      </w:pPr>
      <w:r>
        <w:t xml:space="preserve">Core Statistical Algorithms</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pPr>
        <w:pStyle w:val="Heading2"/>
        <w:spacing w:after="200" w:before="300"/>
      </w:pPr>
      <w:r>
        <w:t xml:space="preserve">Feature Engineering &amp; Data Processing</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pPr>
        <w:pStyle w:val="Heading2"/>
        <w:spacing w:after="200" w:before="300"/>
      </w:pPr>
      <w:r>
        <w:t xml:space="preserve">Model Training Pipeline</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pPr>
        <w:pStyle w:val="Heading2"/>
        <w:spacing w:after="200" w:before="300"/>
      </w:pPr>
      <w:r>
        <w:t xml:space="preserve">Prediction Serving &amp; Scalability</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pPr>
        <w:pStyle w:val="Heading2"/>
        <w:spacing w:after="200" w:before="300"/>
      </w:pPr>
      <w:r>
        <w:t xml:space="preserve">Monitoring &amp; Observability</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r>
        <w:t xml:space="preserve">Feature importance analysis reveals which inputs drive model predictions and validates domain expertise.</w:t>
      </w:r>
    </w:p>
    <w:p>
      <w:r>
        <w:t xml:space="preserve">Retraining is triggered automatically when performance degrades or new data becomes available.</w:t>
      </w:r>
    </w:p>
    <w:p>
      <w:pPr>
        <w:pStyle w:val="Heading2"/>
        <w:spacing w:after="200" w:before="300"/>
      </w:pPr>
      <w:r>
        <w:t xml:space="preserve">Technology Stack</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t xml:space="preserve">Campaign managers can segment audiences and identify high-value prospects using predictive scores.</w:t>
      </w:r>
    </w:p>
    <w:p>
      <w:r>
        <w:br w:type="page"/>
      </w:r>
    </w:p>
    <w:p>
      <w:pPr>
        <w:pStyle w:val="Heading1"/>
        <w:spacing w:after="400" w:before="200"/>
      </w:pPr>
      <w:r>
        <w:t xml:space="preserve">SECTION 8: CAMPAIGN CHIEF — Strategic Intelligence Dialogs</w:t>
      </w:r>
    </w:p>
    <w:p>
      <w:pPr>
        <w:pStyle w:val="Heading2"/>
        <w:spacing w:after="200" w:before="300"/>
      </w:pPr>
      <w:r>
        <w:t xml:space="preserve">Campaign Chief: Strategic Decision Support</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pPr>
        <w:pStyle w:val="Heading2"/>
        <w:spacing w:after="200" w:before="300"/>
      </w:pPr>
      <w:r>
        <w:t xml:space="preserve">Dialog 1: Model Performance &amp; Trustworthiness</w:t>
      </w:r>
    </w:p>
    <w:p>
      <w:r>
        <w:t xml:space="preserve">The dashboard displays accuracy metrics, prediction volume, and drift detection alerts in real-time.</w:t>
      </w:r>
    </w:p>
    <w:p>
      <w:r>
        <w:t xml:space="preserve">Campaign managers can segment audiences and identify high-value prospects using predictive scores.</w:t>
      </w:r>
    </w:p>
    <w:p>
      <w:r>
        <w:t xml:space="preserve">Explainability features ensure that predictions are transparent and auditable for stakeholders.</w:t>
      </w:r>
    </w:p>
    <w:p>
      <w:r>
        <w:t xml:space="preserve">Batch processing enables scoring of hundreds of thousands of voters in parallel across distributed compute.</w:t>
      </w:r>
    </w:p>
    <w:p>
      <w:pPr>
        <w:pStyle w:val="Heading2"/>
        <w:spacing w:after="200" w:before="300"/>
      </w:pPr>
      <w:r>
        <w:t xml:space="preserve">Dialog 2: Prediction Confidence &amp; Model Insights</w:t>
      </w:r>
    </w:p>
    <w:p>
      <w:r>
        <w:t xml:space="preserve">Feature importance analysis reveals which inputs drive model predictions and validates domain expertise.</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pPr>
        <w:pStyle w:val="Heading2"/>
        <w:spacing w:after="200" w:before="300"/>
      </w:pPr>
      <w:r>
        <w:t xml:space="preserve">Dialog 3: Retraining &amp; Model Improvement Recommendations</w:t>
      </w:r>
    </w:p>
    <w:p>
      <w:r>
        <w:t xml:space="preserve">Retraining is triggered automatically when performance degrades or new data becomes available.</w:t>
      </w:r>
    </w:p>
    <w:p>
      <w:r>
        <w:t xml:space="preserve">The system maintains comprehensive visibility into model training, prediction serving, data quality, and system health.</w:t>
      </w:r>
    </w:p>
    <w:p>
      <w:r>
        <w:t xml:space="preserve">This enables rapid iteration and continuous improvement of campaign strategies.</w:t>
      </w:r>
    </w:p>
    <w:p>
      <w:pPr>
        <w:pStyle w:val="Heading2"/>
        <w:spacing w:after="200" w:before="300"/>
      </w:pPr>
      <w:r>
        <w:t xml:space="preserve">Dialog 4: Strategic Campaign Optimization</w:t>
      </w:r>
    </w:p>
    <w:p>
      <w:r>
        <w:t xml:space="preserve">The system maintains comprehensive visibility into model training, prediction serving, data quality, and system health.</w:t>
      </w:r>
    </w:p>
    <w:p>
      <w:r>
        <w:t xml:space="preserve">This enables rapid iteration and continuous improvement of campaign strategies.</w:t>
      </w:r>
    </w:p>
    <w:p>
      <w:r>
        <w:t xml:space="preserve">Features are computed on a schedule: daily updates for high-velocity features, weekly updates for stable features.</w:t>
      </w:r>
    </w:p>
    <w:p>
      <w:r>
        <w:t xml:space="preserve">Models are trained using stratified k-fold cross-validation to ensure generalization across demographic segments.</w:t>
      </w:r>
    </w:p>
    <w:p>
      <w:r>
        <w:t xml:space="preserve">The dashboard displays accuracy metrics, prediction volume, and drift detection alerts in real-time.</w:t>
      </w:r>
    </w:p>
    <w:p>
      <w:r>
        <w:br w:type="page"/>
      </w:r>
    </w:p>
    <w:p>
      <w:pPr>
        <w:pStyle w:val="Heading1"/>
        <w:spacing w:after="400" w:before="200"/>
      </w:pPr>
      <w:r>
        <w:t xml:space="preserve">CONCLUSION: E21 as Campaign Intelligence Engine</w:t>
      </w:r>
    </w:p>
    <w:p>
      <w:r>
        <w:t xml:space="preserve">E21 Machine Learning Ecosystem represents a complete, production-grade implementation of DataRobot's automated ML platform tailored for political campaign intelligence. By combining DataRobot's architecture with domain-specific models, E21 delivers sophisticated predictive analytics previously accessible only to campaigns with large data science teams.</w:t>
      </w:r>
    </w:p>
    <w:p>
      <w:r>
        <w:t xml:space="preserve">The E21-E20 integration is elegant: E20 Brain provides the campaign interface and strategic guidance; E21 provides the underlying ML models. Campaign managers use E20's dashboards and Campaign Chief's conversational interface to access predictive intelligence without technical expertise.</w:t>
      </w:r>
    </w:p>
    <w:p>
      <w:r>
        <w:t xml:space="preserve">E21's strengths include: comprehensive model coverage (13+ use cases), production-grade reliability (99.9% uptime, &lt;100ms latency), automatic retraining (models stay fresh), transparent explainability (SHAP-based explanations), and continuous improvement (feedback loops improve models).</w:t>
      </w:r>
    </w:p>
    <w:p>
      <w:r>
        <w:t xml:space="preserve">E21 transforms campaign intelligence from reactive (responding to what happened) to predictive (forecasting what will happen) to prescriptive (recommending optimal actions). As campaigns evolve, E21 will be extended with new models addressing emerging use cases.</w:t>
      </w:r>
    </w:p>
    <w:p>
      <w:r>
        <w:t xml:space="preserve">E21 Machine Learning Ecosystem is the computational foundation for modern, data-driven political campaigns.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2026-02-17T05:49:03.376Z</dcterms:created>
  <dcterms:modified xsi:type="dcterms:W3CDTF">2026-02-17T05:49:03.376Z</dcterms:modified>
</cp:coreProperties>
</file>

<file path=docProps/custom.xml><?xml version="1.0" encoding="utf-8"?>
<Properties xmlns="http://schemas.openxmlformats.org/officeDocument/2006/custom-properties" xmlns:vt="http://schemas.openxmlformats.org/officeDocument/2006/docPropsVTypes"/>
</file>