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CONTRATO DE HONORÁRIOS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 um lado, como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CONTRATANTE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_proc_outorgante_; e de outro, como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CONTRATADO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_proc_outorgado_, têm, justo e acertado este contrato de prestação de serviços advocatícios, mediante as cláusulas e condições seguintes  </w:t>
      </w:r>
    </w:p>
    <w:p w:rsidR="00000000" w:rsidDel="00000000" w:rsidP="00000000" w:rsidRDefault="00000000" w:rsidRPr="00000000" w14:paraId="00000004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1ª. O advogado compromete-se, em cumprimento ao mandato outorgado, a defender os interesses do cliente, em _proc_job_ _proc_action_ incluindo todas as medidas necessárias para a obtenção melhor resultado possível na demanda, incluindo incidentes processuais, impugnações e interposição de recursos, bem como sua defesa;</w:t>
      </w:r>
    </w:p>
    <w:p w:rsidR="00000000" w:rsidDel="00000000" w:rsidP="00000000" w:rsidRDefault="00000000" w:rsidRPr="00000000" w14:paraId="00000005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2ª. Como remuneração pelos serviços prestados, nas esferas acima mencionadas, _proc_rates_ de acordo com os seguintes termos:</w:t>
      </w:r>
    </w:p>
    <w:p w:rsidR="00000000" w:rsidDel="00000000" w:rsidP="00000000" w:rsidRDefault="00000000" w:rsidRPr="00000000" w14:paraId="00000006">
      <w:pPr>
        <w:tabs>
          <w:tab w:val="left" w:leader="none" w:pos="426"/>
        </w:tabs>
        <w:spacing w:after="120" w:before="120" w:line="360" w:lineRule="auto"/>
        <w:ind w:left="426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Parágrafo Único A partir da concessão do benefício no procedimento  acima mencionado ou de eventual levantamento de valores por parte do cliente, o valor deverá ser repassado ao advogado no prazo de sete dias corridos, na conta do escritório (_proc_office_bank_), informando a realização do depósito, sob a pena de multa de vinte por cento sobre o valor apurado, com correção monetária e juros legais;</w:t>
      </w:r>
    </w:p>
    <w:p w:rsidR="00000000" w:rsidDel="00000000" w:rsidP="00000000" w:rsidRDefault="00000000" w:rsidRPr="00000000" w14:paraId="00000007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3ª. O cliente não poderá desistir da propositura da ação ou do procedimento administrativo, incorrendo em multa de mil reais. Caso o mandato seja revogado sem justa causa ou substabelecido para outro advogado durante o processo, o cliente pagará ao advogado honorários sucumbenciais e contratuais, proporcionais ou integrais, a depender do serviço efetivamente prestado, vencidos antecipadamente, independente do resultado da demanda, considerando-se para tanto, ao protocolo da petição inicial ou protocolo administrativo correspondente à metade dos serviços prestados e a procedência da demanda em sentença de primeiro grau ou análise administrativa em primeira instância correspondendo a integralidade dos serviços prestados, independente de recursos, incorrendo na multa definida no parágrafo único do artigo anterior;</w:t>
      </w:r>
    </w:p>
    <w:p w:rsidR="00000000" w:rsidDel="00000000" w:rsidP="00000000" w:rsidRDefault="00000000" w:rsidRPr="00000000" w14:paraId="00000008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4ª. O cliente tem total consciência de que não há garantias de sucesso na procedência da demanda, ou seja, o contrato envolve risco de ganhar ou de perder, que pode variar conforme o entendimento dos juízes, tribunais e da qualidade das provas produzidas, bem como do momento da propositura da ação, havendo possibilidade de processos idênticos terem resultados diferentes, estando o advogado comprometido a buscar sempre o melhor interesse do cliente em todos os momentos;</w:t>
      </w:r>
    </w:p>
    <w:p w:rsidR="00000000" w:rsidDel="00000000" w:rsidP="00000000" w:rsidRDefault="00000000" w:rsidRPr="00000000" w14:paraId="00000009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5ª. O cliente compromete-se a fornecer ao advogado todos os documentos e provas necessárias à comprovação (judicial ou não) dos seus direitos, inclusive indicando testemunhas e comprometendo-se com a sua presença em audiência, bem como ao pagamento de custas processuais, sucumbenciais, taxas, despesas extraprocessuais correlacionadas ao processo e litigância de má-fé. O processo só terá início após todas as provas necessárias serem entregues ao advogado;</w:t>
      </w:r>
    </w:p>
    <w:p w:rsidR="00000000" w:rsidDel="00000000" w:rsidP="00000000" w:rsidRDefault="00000000" w:rsidRPr="00000000" w14:paraId="0000000A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6ª. O cliente compromete-se a manter o advogado informado de alterações de seus dados cadastrais, como telefone, celular, e-mail, endereço e conta corrente, ficando ciente de que as comunicações serão realizadas através destes meios, o uso de WhatsApp constitui mera liberalidade, podendo ser encerrado a qualquer momento. O cliente será informado da ocorrência de audiências, necessidade de juntada de provas, custas e do êxito ou fracasso do processo;</w:t>
      </w:r>
    </w:p>
    <w:p w:rsidR="00000000" w:rsidDel="00000000" w:rsidP="00000000" w:rsidRDefault="00000000" w:rsidRPr="00000000" w14:paraId="0000000B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7ª. O pagamento dos benefícios processuais advindos do processo, será pago ao cliente em saque direto, em espécie, cheque em mãos ou depósito/transferência na conta corrente indicada no início deste contrato ou de outra conta de sua titularidade, neste último caso, sem necessidade de recibo;</w:t>
      </w:r>
    </w:p>
    <w:p w:rsidR="00000000" w:rsidDel="00000000" w:rsidP="00000000" w:rsidRDefault="00000000" w:rsidRPr="00000000" w14:paraId="0000000C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8ª. O pedido e/ou o deferimento de assistência judiciária gratuita não implica na revogação ou extinção de nenhuma das cláusulas deste contrato e nem a renúncia qualquer tipo de honorários;</w:t>
      </w:r>
    </w:p>
    <w:p w:rsidR="00000000" w:rsidDel="00000000" w:rsidP="00000000" w:rsidRDefault="00000000" w:rsidRPr="00000000" w14:paraId="0000000D">
      <w:pPr>
        <w:tabs>
          <w:tab w:val="left" w:leader="none" w:pos="1701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9ª. Fica eleito o foro da Comarca de Cascavel – PR para dirimir toda e qualquer pendência envolvendo o presente contrato, impresso em duas vias, sendo uma entregue ao cliente neste ato, subscrito pelas partes.</w:t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_proc_today_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_proc_full_name_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_proc_represent_full_name_</w:t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_proc_lawyer_full_name_</w:t>
      </w:r>
    </w:p>
    <w:sectPr>
      <w:pgSz w:h="15840" w:w="12240" w:orient="portrait"/>
      <w:pgMar w:bottom="1134" w:top="1260" w:left="1134" w:right="111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Corpodetexto">
    <w:name w:val="Body Text"/>
    <w:basedOn w:val="Normal"/>
    <w:qFormat w:val="1"/>
    <w:pPr>
      <w:spacing w:after="140" w:line="276" w:lineRule="auto"/>
    </w:pPr>
  </w:style>
  <w:style w:type="paragraph" w:styleId="Legenda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Lista">
    <w:name w:val="List"/>
    <w:basedOn w:val="Corpodetexto"/>
    <w:qFormat w:val="1"/>
    <w:rPr>
      <w:rFonts w:cs="Lohit Devanagari"/>
    </w:r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abealhoChar" w:customStyle="1">
    <w:name w:val="Cabeçalho Char"/>
    <w:basedOn w:val="Fontepargpadro"/>
    <w:link w:val="Cabealho"/>
    <w:uiPriority w:val="99"/>
    <w:qFormat w:val="1"/>
  </w:style>
  <w:style w:type="character" w:styleId="RodapChar" w:customStyle="1">
    <w:name w:val="Rodapé Char"/>
    <w:basedOn w:val="Fontepargpadro"/>
    <w:link w:val="Rodap"/>
    <w:uiPriority w:val="99"/>
    <w:qFormat w:val="1"/>
  </w:style>
  <w:style w:type="character" w:styleId="TextodoEspaoReservado">
    <w:name w:val="Placeholder Text"/>
    <w:basedOn w:val="Fontepargpadro"/>
    <w:uiPriority w:val="99"/>
    <w:semiHidden w:val="1"/>
    <w:qFormat w:val="1"/>
    <w:rPr>
      <w:color w:val="80808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qFormat w:val="1"/>
    <w:rPr>
      <w:sz w:val="20"/>
      <w:szCs w:val="20"/>
    </w:rPr>
  </w:style>
  <w:style w:type="character" w:styleId="FootnoteCharacters" w:customStyle="1">
    <w:name w:val="Footnote Characters"/>
    <w:basedOn w:val="Fontepargpadro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Pr>
      <w:rFonts w:ascii="Segoe UI" w:cs="Segoe UI" w:hAnsi="Segoe UI"/>
      <w:sz w:val="18"/>
      <w:szCs w:val="18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ascii="Cambria" w:hAnsi="Cambria"/>
      <w:b w:val="1"/>
      <w:sz w:val="20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ascii="Cambria" w:hAnsi="Cambria"/>
      <w:b w:val="1"/>
      <w:sz w:val="20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paragraph" w:styleId="Heading" w:customStyle="1">
    <w:name w:val="Heading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jScg2t1VUtbY9QoWGMu4PEA+wQ==">CgMxLjA4AHIhMWg5dWpNeWlYNEx3SFlfdnZTaURySkhpUmhhenZWbHh0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2023-05-26T02:01:00Z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1033-11.1.0.11664</vt:lpwstr>
  </property>
</Properties>
</file>