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Antônio Barazuol Almon Ccíla De Agnoi, estrangeira, solteira, absolutamente incapaz, customer branding director, portadora do RG n° 348280683 e inscrita no CPF sob o n° 86623733647, Jamey.Fahey7@hotmail.com, residente e domiciliada à Rua Paraíso, n° 2339, Na Rua Dos Taxistas, Teresina - PI, CEP 64000-530, neste ato representada por Benício De Andades Baboa, divorciada, portadora do RG n° 110336793 e inscrita no CPF sob o n° 27667132127, Arielle_Stehr44@hotmail.com, residente e domiciliada à Rua T1, n° 4441, Em Frente A Rotatória, Aracaju - SE, CEP 49001-021.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Teresina - PI, 13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Benício de Andades Baboa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