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Required Assignment 11.2: Visionary Bank's AI-Driven Fraud Detection System</w:t>
      </w:r>
    </w:p>
    <w:p>
      <w:pPr>
        <w:spacing w:after="160" w:line="276"/>
      </w:pPr>
      <w:r>
        <w:t xml:space="preserve">Name: Raja Shekar Bollam</w:t>
      </w:r>
    </w:p>
    <w:p>
      <w:pPr>
        <w:spacing w:after="200"/>
      </w:pPr>
      <w:r>
        <w:rPr>
          <w:i/>
          <w:iCs/>
        </w:rPr>
        <w:t xml:space="preserve">Based on the case study “A Case Study of Visionary Bank — Enhancing Fraud Detection Through AI Integration.”</w:t>
      </w:r>
    </w:p>
    <w:p>
      <w:pPr>
        <w:pStyle w:val="Heading2"/>
        <w:spacing w:after="100" w:before="240"/>
      </w:pPr>
      <w:r>
        <w:t xml:space="preserve">1. Strategic Alignment</w:t>
      </w:r>
    </w:p>
    <w:p>
      <w:pPr>
        <w:spacing w:after="160" w:line="276"/>
      </w:pPr>
      <w:r>
        <w:rPr>
          <w:sz w:val="22"/>
        </w:rPr>
        <w:t>Visionary Bank's AI adoption is not a standalone IT project but an explicit extension of its digital transformation agenda, framed in the case as part of a broader strategic initiative aimed at refining operational efficiencies and reinforcing customer trust. The move answers a real strategic threat: traditional rule-based systems lack the adaptability and speed to counter evolving fraud, so AI offering real-time learning and adaptation becomes a competitive necessity, not a nice-to-have. The alignment is reinforced by capital commitment: the bank allocates approximately $15 billion to tech spending annually, with a significant portion directed to AI, signalling board-level strategic intent rather than experimentation. On operational efficiency, the AI stack - real-time transaction monitoring, anomaly detection, and continuously evolving supervised and unsupervised ML models - lets the bank process and analyze extensive datasets and detect fraud with remarkable precision. On customer trust, real-time monitoring is crucial because it helps prevent fraud before it affects customers, protecting both the customer relationship and the bank's reputation for security. Suitable KPIs for this strategic alignment would include fraud-loss reduction, fraud-detection latency, false-positive rate, analyst productivity, customer dispute volume, and customer trust indicators. The multi-vendor public cloud and upgraded data centres further support this strategy by integrating AI with legacy systems without disrupting service quality, so efficiency gains do not come at the expense of customer experience.</w:t>
      </w:r>
    </w:p>
    <w:p>
      <w:pPr>
        <w:pStyle w:val="Heading2"/>
        <w:spacing w:after="100" w:before="240"/>
      </w:pPr>
      <w:r>
        <w:t xml:space="preserve">2. Leadership and Advocacy</w:t>
      </w:r>
    </w:p>
    <w:p>
      <w:pPr>
        <w:spacing w:after="160" w:line="276"/>
      </w:pPr>
      <w:r>
        <w:t xml:space="preserve">Leadership is the decisive enabler in this case. The case states that “senior leadership at Visionary Bank champions this innovative drive, cultivating a culture steeped in analytics and forward-thinking methodologies” — leaders act as active advocates who set the tone, not passive sponsors. Their advocacy is demonstrated rather than merely rhetorical: it is backed by “substantial investments in AI technology and employee training programs” and the bank's roughly $15 billion annual tech budget, a significant portion directed to AI. Committing capital at that scale is the clearest signal a leadership team can send that AI is a strategic priority, and it removes the funding and infrastructure barriers that usually stall adoption. The cultural shift they encourage is equally important. By moving the organisation from a traditional, rule-based mindset to one “steeped in analytics and forward-thinking methodologies,” leaders reframe fraud management from a reactive, compliance-driven function into a proactive, data-driven capability. This mirrors Module 11's emphasis on leadership and AI advocacy as a precondition for adoption: leaders must legitimise new ways of working, fund the transition, and model analytical decision-making. The result the case describes — “seamless integration” of advanced systems while ethical standards are maintained — is achievable only when leadership simultaneously drives ambition and sets guardrails.</w:t>
      </w:r>
    </w:p>
    <w:p>
      <w:pPr>
        <w:pStyle w:val="Heading2"/>
        <w:spacing w:after="100" w:before="240"/>
      </w:pPr>
      <w:r>
        <w:t xml:space="preserve">3. Workforce Development</w:t>
      </w:r>
    </w:p>
    <w:p>
      <w:pPr>
        <w:spacing w:after="160" w:line="276"/>
      </w:pPr>
      <w:r>
        <w:rPr>
          <w:sz w:val="22"/>
        </w:rPr>
        <w:t>Visionary Bank treats its workforce as a core part of the AI capability, not an afterthought. The case is explicit that the bank rolled out extensive training programs aimed at enhancing AI and data analytics skills across all levels of employment. The breadth matters because it builds AI fluency throughout the organisation rather than concentrating it in a small data-science team. Critically, the goal is not awareness alone: the programs ensure employees are familiar with AI technology and are also adept at using these tools to achieve operational efficiencies. A practical workforce model would include AI awareness for all employees, model-output interpretation for fraud analysts, compliance and data-protection training for risk teams, and advanced ML/MLOps capability for technical teams. This links workforce development directly to the strategic use of AI: fraud analysts can interpret model outputs, manage false positives, escalate high-risk cases, and keep humans in the loop where decisions affect customers. The initiative is funded as a deliberate complement to the technology investment, so both infrastructure and workforce are optimised for high performance. This is consistent with Module 11's framework for AI-skilled teams: technical expertise, domain expertise, project management, change management, and business analysis must work together. In Visionary Bank's context, training turns AI from a black box into a governed tool that employees can apply responsibly and effectively.</w:t>
      </w:r>
    </w:p>
    <w:p>
      <w:pPr>
        <w:pStyle w:val="Heading2"/>
        <w:spacing w:after="100" w:before="240"/>
      </w:pPr>
      <w:r>
        <w:t xml:space="preserve">4. AI Scaling Strategy</w:t>
      </w:r>
    </w:p>
    <w:p>
      <w:pPr>
        <w:spacing w:after="160" w:line="276"/>
      </w:pPr>
      <w:r>
        <w:t xml:space="preserve">Visionary Bank scales AI through “a meticulously structured phased approach” rather than a risky big-bang rollout. The first stage is controlled pilot testing: “initial pilot tests in controlled environments allow for detailed assessments of technology impacts.” This de-risks deployment by validating fraud-detection performance, surfacing issues, and quantifying impact before any wide exposure. The second stage uses those pilot findings to “inform subsequent full-scale deployments,” so expansion is evidence-led, with each rollout decision grounded in measured results rather than assumption. The third element is a continuous-improvement loop: the phased expansion is “complemented by continuous performance evaluations and system optimizations, ensuring that each stage of AI integration delivers maximal benefits.” This feedback loop is especially important for fraud detection, where threats evolve constantly; the case notes the ML models “evolve continuously as they process new transaction data,” so the scaling approach and the technology reinforce each other — more deployment generates more data, which sharpens the models. The multi-vendor public cloud strategy underpins this by providing “the scalability and flexibility necessary for deploying state-of-the-art AI solutions.” Each stage therefore contributes to refinement: pilots prove and tune the models, full-scale deployment industrialises them, and continuous evaluation keeps the system accurate as fraud patterns shift — a disciplined, low-risk path from experiment to enterprise capability.</w:t>
      </w:r>
    </w:p>
    <w:p>
      <w:pPr>
        <w:pStyle w:val="Heading2"/>
        <w:spacing w:after="100" w:before="240"/>
      </w:pPr>
      <w:r>
        <w:t xml:space="preserve">5. Ethical and Compliance Considerations</w:t>
      </w:r>
    </w:p>
    <w:p>
      <w:pPr>
        <w:spacing w:after="160" w:line="276"/>
      </w:pPr>
      <w:r>
        <w:rPr>
          <w:sz w:val="22"/>
        </w:rPr>
        <w:t>Visionary Bank embeds ethics and compliance into its AI deployment rather than treating them as an afterthought - essential for a bank running worldwide operations. On regulatory compliance, the case states the bank adheres to international data protection standards such as GDPR and CCPA, ensuring that AI systems operate within legal frameworks and ethical boundaries. Aligning to both standards is significant because it commits the bank to strict consent, data-minimisation, transparency, and privacy obligations across multiple jurisdictions. On ethical AI, the bank conducts regular audits to monitor algorithms for bias, supporting fairness and transparency in automated processes. This directly addresses the principal risks of automated fraud decisions: biased outcomes that could unfairly flag certain customers, opaque decisions that reduce trust, and privacy failures involving sensitive transaction data. Explainability is especially important in fraud detection because customers, regulators, and internal reviewers may need to understand why a transaction was blocked, flagged, or escalated. Critically assessed, the bank's approach is sound in principle - privacy compliance, bias audits, transparency, and regular controls are the right foundation - but the case describes them at a high level. A fully robust programme would also specify human-in-the-loop review for adverse fraud decisions, model explainability standards, escalation thresholds, and a customer-redress path for false positives. Still, by pairing innovation with data protection, bias monitoring, and continuous auditing, Visionary Bank demonstrates the responsible-AI posture Module 11 advocates.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ptos" w:cs="Aptos" w:eastAsia="Aptos" w:hAnsi="Aptos"/>
      <w:b/>
      <w:bCs/>
      <w:color w:val="1F3864"/>
      <w:sz w:val="28"/>
      <w:szCs w:val="28"/>
    </w:rPr>
  </w:style>
  <w:style w:type="paragraph" w:styleId="Heading2">
    <w:name w:val="Heading 2"/>
    <w:basedOn w:val="Normal"/>
    <w:next w:val="Normal"/>
    <w:qFormat/>
    <w:pPr>
      <w:spacing w:after="100" w:before="240"/>
      <w:outlineLvl w:val="1"/>
    </w:pPr>
    <w:rPr>
      <w:rFonts w:ascii="Aptos" w:cs="Aptos" w:eastAsia="Aptos" w:hAnsi="Aptos"/>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2026-06-21T17:40:04.159Z</dcterms:created>
  <dcterms:modified xsi:type="dcterms:W3CDTF">2026-06-21T17:40:04.159Z</dcterms:modified>
</cp:coreProperties>
</file>

<file path=docProps/custom.xml><?xml version="1.0" encoding="utf-8"?>
<Properties xmlns="http://schemas.openxmlformats.org/officeDocument/2006/custom-properties" xmlns:vt="http://schemas.openxmlformats.org/officeDocument/2006/docPropsVTypes"/>
</file>