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Leveraging Generative AI in Marketing</w:t>
      </w:r>
    </w:p>
    <w:p>
      <w:pPr>
        <w:jc w:val="center"/>
      </w:pPr>
      <w:r>
        <w:rPr>
          <w:b/>
        </w:rPr>
        <w:t>Required Assignment 6.2 — Industry Analysis, Professional Interview Substitute, and GenAI Role-Play</w:t>
      </w:r>
    </w:p>
    <w:p>
      <w:pPr>
        <w:jc w:val="center"/>
      </w:pPr>
      <w:r>
        <w:t>Name: Raja Shekar Bollam</w:t>
      </w:r>
    </w:p>
    <w:p>
      <w:pPr>
        <w:jc w:val="center"/>
      </w:pPr>
      <w:r>
        <w:t>Industry selected: Marketing | Focus area: GenAI for personalised campaigns, ad copy, creative generation, and customer engagement</w:t>
      </w:r>
    </w:p>
    <w:p>
      <w:pPr>
        <w:pStyle w:val="Heading1"/>
      </w:pPr>
      <w:r>
        <w:t>1. Introduction: The Industry and Its Significance</w:t>
      </w:r>
    </w:p>
    <w:p>
      <w:pPr>
        <w:spacing w:after="120"/>
      </w:pPr>
      <w:r>
        <w:t>Marketing is one of the industries most directly reshaped by generative AI. It turns creative production, campaign planning, customer engagement, and message testing into faster, more iterative workflows. The strategic shift is not that AI replaces marketers. The shift is that marketers can now produce, localise, test, and refine ideas at a scale that was previously too slow or too expensive.</w:t>
      </w:r>
    </w:p>
    <w:p>
      <w:pPr>
        <w:spacing w:after="120"/>
      </w:pPr>
      <w:r>
        <w:t>India is an important market for this shift because it is mobile-first, multilingual, culturally fragmented, and increasingly digital. Recent industry reports show that digital advertising is now a dominant growth engine in India, with AI-led personalisation, retail media, creator-led marketing, and privacy-first measurement becoming central themes. For Indian marketers, GenAI is therefore not only a creative tool. It is a way to handle vernacular reach, campaign speed, cost pressure, and customer relevance at scale.</w:t>
      </w:r>
    </w:p>
    <w:p>
      <w:pPr>
        <w:spacing w:after="120"/>
      </w:pPr>
      <w:r>
        <w:t>This report analyses GenAI in Indian marketing, reviews Indian examples, presents a case-based practitioner perspective as a substitute for a direct interview, simulates role-based professional interviews using GenAI, and compares the real-world and AI-generated insights.</w:t>
      </w:r>
    </w:p>
    <w:p>
      <w:pPr>
        <w:pStyle w:val="Heading1"/>
      </w:pPr>
      <w:r>
        <w:t>2. Part 1 — Industry Analysis</w:t>
      </w:r>
    </w:p>
    <w:p>
      <w:pPr>
        <w:pStyle w:val="Heading2"/>
      </w:pPr>
      <w:r>
        <w:t>2.1 Overview and Current Challenges of Marketing in India</w:t>
      </w:r>
    </w:p>
    <w:p>
      <w:pPr>
        <w:spacing w:after="120"/>
      </w:pPr>
      <w:r>
        <w:t>Indian marketing is large, fragmented, and fast-moving. Smartphone adoption, low-cost mobile data, video-led consumption, and regional-language content have expanded reach, but they have also made execution harder. A brand rarely needs one campaign anymore; it needs many culturally aware versions across channels, languages, audiences, and formats.</w:t>
      </w:r>
    </w:p>
    <w:p>
      <w:pPr>
        <w:pStyle w:val="ListBullet"/>
        <w:spacing w:after="60"/>
      </w:pPr>
      <w:r>
        <w:rPr>
          <w:b/>
        </w:rPr>
        <w:t xml:space="preserve">Vernacular and cultural fragmentation — </w:t>
      </w:r>
      <w:r>
        <w:t>campaigns must work across many languages, regions, festivals, media habits, and cultural contexts.</w:t>
      </w:r>
    </w:p>
    <w:p>
      <w:pPr>
        <w:pStyle w:val="ListBullet"/>
        <w:spacing w:after="60"/>
      </w:pPr>
      <w:r>
        <w:rPr>
          <w:b/>
        </w:rPr>
        <w:t xml:space="preserve">Personalisation at scale — </w:t>
      </w:r>
      <w:r>
        <w:t>customers expect relevant offers and content, but most brands struggle to produce enough high-quality variants.</w:t>
      </w:r>
    </w:p>
    <w:p>
      <w:pPr>
        <w:pStyle w:val="ListBullet"/>
        <w:spacing w:after="60"/>
      </w:pPr>
      <w:r>
        <w:rPr>
          <w:b/>
        </w:rPr>
        <w:t xml:space="preserve">Creative speed and cost pressure — </w:t>
      </w:r>
      <w:r>
        <w:t>campaign cycles are shorter, budgets are tighter, and manual creative production becomes a bottleneck.</w:t>
      </w:r>
    </w:p>
    <w:p>
      <w:pPr>
        <w:pStyle w:val="ListBullet"/>
        <w:spacing w:after="60"/>
      </w:pPr>
      <w:r>
        <w:rPr>
          <w:b/>
        </w:rPr>
        <w:t xml:space="preserve">Measurement and ROI — </w:t>
      </w:r>
      <w:r>
        <w:t>attribution across social, search, marketplaces, quick commerce, retail media, and offline channels remains difficult.</w:t>
      </w:r>
    </w:p>
    <w:p>
      <w:pPr>
        <w:pStyle w:val="ListBullet"/>
        <w:spacing w:after="60"/>
      </w:pPr>
      <w:r>
        <w:rPr>
          <w:b/>
        </w:rPr>
        <w:t xml:space="preserve">Trust, privacy, and brand safety — </w:t>
      </w:r>
      <w:r>
        <w:t>India’s DPDP Act raises the bar for consent, data minimisation, transparency, and governance when personal data is used for marketing.</w:t>
      </w:r>
    </w:p>
    <w:p>
      <w:pPr>
        <w:pStyle w:val="ListBullet"/>
        <w:spacing w:after="60"/>
      </w:pPr>
      <w:r>
        <w:rPr>
          <w:b/>
        </w:rPr>
        <w:t xml:space="preserve">Talent readiness — </w:t>
      </w:r>
      <w:r>
        <w:t>marketing teams need new skills in prompt design, evaluation, AI workflow design, data interpretation, and brand governance.</w:t>
      </w:r>
    </w:p>
    <w:p>
      <w:pPr>
        <w:pStyle w:val="Heading2"/>
      </w:pPr>
      <w:r>
        <w:t>2.2 Specific Applications of Generative AI in Marketing</w:t>
      </w:r>
    </w:p>
    <w:p>
      <w:pPr>
        <w:pStyle w:val="ListBullet"/>
        <w:spacing w:after="60"/>
      </w:pPr>
      <w:r>
        <w:rPr>
          <w:b/>
        </w:rPr>
        <w:t xml:space="preserve">Ad-copy and content generation — </w:t>
      </w:r>
      <w:r>
        <w:t>headlines, social posts, email copy, product descriptions, landing-page copy, and campaign variants in multiple Indian languages.</w:t>
      </w:r>
    </w:p>
    <w:p>
      <w:pPr>
        <w:pStyle w:val="ListBullet"/>
        <w:spacing w:after="60"/>
      </w:pPr>
      <w:r>
        <w:rPr>
          <w:b/>
        </w:rPr>
        <w:t xml:space="preserve">Creative and visual generation — </w:t>
      </w:r>
      <w:r>
        <w:t>image, banner, short-video, storyboard, and product-visual variants for faster campaign testing.</w:t>
      </w:r>
    </w:p>
    <w:p>
      <w:pPr>
        <w:pStyle w:val="ListBullet"/>
        <w:spacing w:after="60"/>
      </w:pPr>
      <w:r>
        <w:rPr>
          <w:b/>
        </w:rPr>
        <w:t xml:space="preserve">Hyper-personalisation — </w:t>
      </w:r>
      <w:r>
        <w:t>individualised messages and offers based on customer behaviour, segment, intent, and lifecycle stage.</w:t>
      </w:r>
    </w:p>
    <w:p>
      <w:pPr>
        <w:pStyle w:val="ListBullet"/>
        <w:spacing w:after="60"/>
      </w:pPr>
      <w:r>
        <w:rPr>
          <w:b/>
        </w:rPr>
        <w:t xml:space="preserve">Conversational marketing — </w:t>
      </w:r>
      <w:r>
        <w:t>AI chatbots and assistants that answer queries, recommend products, nurture leads, and support vernacular interactions.</w:t>
      </w:r>
    </w:p>
    <w:p>
      <w:pPr>
        <w:pStyle w:val="ListBullet"/>
        <w:spacing w:after="60"/>
      </w:pPr>
      <w:r>
        <w:rPr>
          <w:b/>
        </w:rPr>
        <w:t xml:space="preserve">Audience insight and segmentation — </w:t>
      </w:r>
      <w:r>
        <w:t>summarising social listening, reviews, search behaviour, campaign feedback, and customer signals into usable insights.</w:t>
      </w:r>
    </w:p>
    <w:p>
      <w:pPr>
        <w:pStyle w:val="ListBullet"/>
        <w:spacing w:after="60"/>
      </w:pPr>
      <w:r>
        <w:rPr>
          <w:b/>
        </w:rPr>
        <w:t xml:space="preserve">Campaign optimisation — </w:t>
      </w:r>
      <w:r>
        <w:t>generating variants, testing creative hypotheses, predicting performance, and helping reallocate budgets.</w:t>
      </w:r>
    </w:p>
    <w:p>
      <w:pPr>
        <w:pStyle w:val="ListBullet"/>
        <w:spacing w:after="60"/>
      </w:pPr>
      <w:r>
        <w:rPr>
          <w:b/>
        </w:rPr>
        <w:t xml:space="preserve">Marketing operations — </w:t>
      </w:r>
      <w:r>
        <w:t>brief generation, campaign calendars, compliance checks, asset tagging, taxonomy management, and reporting automation.</w:t>
      </w:r>
    </w:p>
    <w:p>
      <w:pPr>
        <w:pStyle w:val="Heading2"/>
      </w:pPr>
      <w:r>
        <w:t>2.3 Indian Companies and Case-Based Examples</w:t>
      </w:r>
    </w:p>
    <w:p>
      <w:pPr>
        <w:pStyle w:val="Heading3"/>
        <w:spacing w:after="120"/>
      </w:pPr>
      <w:r>
        <w:t>WATConsult / Dentsu Creative Isobar</w:t>
      </w:r>
    </w:p>
    <w:p>
      <w:pPr>
        <w:spacing w:after="120"/>
      </w:pPr>
      <w:r>
        <w:t>WATConsult, now associated with Dentsu Creative Isobar, is a Mumbai-based digital agency in India. Its published WATPapers work on conversational marketing and AI-enabled chatbots highlights the use of AI and ML in customer service, sales, and marketing, especially where brands need 24x7 response, faster query resolution, and improved customer experience. For this assignment, WATConsult is a useful Indian agency example because it shows how AI enters marketing not only through ad copy, but also through customer engagement and conversational interfaces.</w:t>
      </w:r>
    </w:p>
    <w:p>
      <w:pPr>
        <w:spacing w:after="120"/>
      </w:pPr>
      <w:r>
        <w:t>The practical lesson is clear: in Indian marketing, GenAI can help agencies and brands move from campaign-only communication to always-on engagement. The risk is equally clear: if the bot gives poor, generic, or inaccurate answers, the brand experience is damaged immediately.</w:t>
      </w:r>
    </w:p>
    <w:p>
      <w:pPr>
        <w:pStyle w:val="Heading3"/>
        <w:spacing w:after="120"/>
      </w:pPr>
      <w:r>
        <w:t>Mad Street Den / Vue.ai</w:t>
      </w:r>
    </w:p>
    <w:p>
      <w:pPr>
        <w:spacing w:after="120"/>
      </w:pPr>
      <w:r>
        <w:t>Mad Street Den is a Chennai-origin AI company focused on retail AI, and its Vue.ai platform provides AI capabilities for e-commerce and consumer retail. Vue.ai’s official materials describe automated product tagging, product content generation, site search, personalized recommendations, taxonomy management, and AI-based catalog organization. IndiaAI also profiles Mad Street Den as a computer-vision AI startup focused on retail, with Vue.ai as its vertically integrated AI stack.</w:t>
      </w:r>
    </w:p>
    <w:p>
      <w:pPr>
        <w:spacing w:after="120"/>
      </w:pPr>
      <w:r>
        <w:t>This is directly relevant to marketing because product data quality is the hidden foundation of personalisation. A marketer cannot personalise recommendations, content, or offers if the catalogue is poorly tagged, inconsistent, or hard to search. Vue.ai shows how AI can convert messy product and customer data into better discovery, personalisation, and shopping experience.</w:t>
      </w:r>
    </w:p>
    <w:p>
      <w:pPr>
        <w:pStyle w:val="Heading3"/>
        <w:spacing w:after="120"/>
      </w:pPr>
      <w:r>
        <w:t>Recent market signal: Indian AI hubs and in-house marketing production</w:t>
      </w:r>
    </w:p>
    <w:p>
      <w:pPr>
        <w:spacing w:after="120"/>
      </w:pPr>
      <w:r>
        <w:t>Recent reporting also shows a broader market shift: global companies are increasingly using AI capabilities in India-based hubs to bring more advertising production in-house. Examples include AI-assisted product visuals, influencer selection, and campaign optimisation. This does not replace agencies entirely, but it changes where value sits. Scale production becomes easier; strategic judgement, brand craft, governance, and differentiated ideas become more valuable.</w:t>
      </w:r>
    </w:p>
    <w:p>
      <w:pPr>
        <w:pStyle w:val="Heading2"/>
      </w:pPr>
      <w:r>
        <w:t>2.4 Benefits and Potential Drawbacks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pPr>
              <w:spacing w:after="0"/>
            </w:pPr>
            <w:r/>
            <w:r>
              <w:rPr>
                <w:b/>
                <w:sz w:val="18"/>
              </w:rPr>
              <w:t>Benefits</w:t>
            </w:r>
          </w:p>
        </w:tc>
        <w:tc>
          <w:tcPr>
            <w:tcW w:type="dxa" w:w="5328"/>
            <w:shd w:fill="D9EAF7"/>
          </w:tcPr>
          <w:p>
            <w:pPr>
              <w:spacing w:after="0"/>
            </w:pPr>
            <w:r/>
            <w:r>
              <w:rPr>
                <w:b/>
                <w:sz w:val="18"/>
              </w:rPr>
              <w:t>Potential Drawbacks / Risks</w:t>
            </w:r>
          </w:p>
        </w:tc>
      </w:tr>
      <w:tr>
        <w:tc>
          <w:tcPr>
            <w:tcW w:type="dxa" w:w="5040"/>
            <w:vAlign w:val="top"/>
          </w:tcPr>
          <w:p>
            <w:pPr>
              <w:spacing w:after="0"/>
            </w:pPr>
            <w:r/>
            <w:r>
              <w:rPr>
                <w:b w:val="0"/>
                <w:sz w:val="18"/>
              </w:rPr>
              <w:t>Faster creative production and campaign iteration.</w:t>
            </w:r>
          </w:p>
        </w:tc>
        <w:tc>
          <w:tcPr>
            <w:tcW w:type="dxa" w:w="5328"/>
            <w:vAlign w:val="top"/>
          </w:tcPr>
          <w:p>
            <w:pPr>
              <w:spacing w:after="0"/>
            </w:pPr>
            <w:r/>
            <w:r>
              <w:rPr>
                <w:b w:val="0"/>
                <w:sz w:val="18"/>
              </w:rPr>
              <w:t>Hallucinated or inaccurate product, pricing, or compliance claims.</w:t>
            </w:r>
          </w:p>
        </w:tc>
      </w:tr>
      <w:tr>
        <w:tc>
          <w:tcPr>
            <w:tcW w:type="dxa" w:w="5040"/>
            <w:vAlign w:val="top"/>
          </w:tcPr>
          <w:p>
            <w:pPr>
              <w:spacing w:after="0"/>
            </w:pPr>
            <w:r/>
            <w:r>
              <w:rPr>
                <w:b w:val="0"/>
                <w:sz w:val="18"/>
              </w:rPr>
              <w:t>Lower cost of producing copy, visuals, and language variants.</w:t>
            </w:r>
          </w:p>
        </w:tc>
        <w:tc>
          <w:tcPr>
            <w:tcW w:type="dxa" w:w="5328"/>
            <w:vAlign w:val="top"/>
          </w:tcPr>
          <w:p>
            <w:pPr>
              <w:spacing w:after="0"/>
            </w:pPr>
            <w:r/>
            <w:r>
              <w:rPr>
                <w:b w:val="0"/>
                <w:sz w:val="18"/>
              </w:rPr>
              <w:t>Brand-safety and tone risk when outputs are not reviewed.</w:t>
            </w:r>
          </w:p>
        </w:tc>
      </w:tr>
      <w:tr>
        <w:tc>
          <w:tcPr>
            <w:tcW w:type="dxa" w:w="5040"/>
            <w:vAlign w:val="top"/>
          </w:tcPr>
          <w:p>
            <w:pPr>
              <w:spacing w:after="0"/>
            </w:pPr>
            <w:r/>
            <w:r>
              <w:rPr>
                <w:b w:val="0"/>
                <w:sz w:val="18"/>
              </w:rPr>
              <w:t>Better vernacular and regional personalisation.</w:t>
            </w:r>
          </w:p>
        </w:tc>
        <w:tc>
          <w:tcPr>
            <w:tcW w:type="dxa" w:w="5328"/>
            <w:vAlign w:val="top"/>
          </w:tcPr>
          <w:p>
            <w:pPr>
              <w:spacing w:after="0"/>
            </w:pPr>
            <w:r/>
            <w:r>
              <w:rPr>
                <w:b w:val="0"/>
                <w:sz w:val="18"/>
              </w:rPr>
              <w:t>Cultural flattening if local nuance is missed.</w:t>
            </w:r>
          </w:p>
        </w:tc>
      </w:tr>
      <w:tr>
        <w:tc>
          <w:tcPr>
            <w:tcW w:type="dxa" w:w="5040"/>
            <w:vAlign w:val="top"/>
          </w:tcPr>
          <w:p>
            <w:pPr>
              <w:spacing w:after="0"/>
            </w:pPr>
            <w:r/>
            <w:r>
              <w:rPr>
                <w:b w:val="0"/>
                <w:sz w:val="18"/>
              </w:rPr>
              <w:t>Higher experimentation speed through A/B and multivariate variants.</w:t>
            </w:r>
          </w:p>
        </w:tc>
        <w:tc>
          <w:tcPr>
            <w:tcW w:type="dxa" w:w="5328"/>
            <w:vAlign w:val="top"/>
          </w:tcPr>
          <w:p>
            <w:pPr>
              <w:spacing w:after="0"/>
            </w:pPr>
            <w:r/>
            <w:r>
              <w:rPr>
                <w:b w:val="0"/>
                <w:sz w:val="18"/>
              </w:rPr>
              <w:t>Over-optimisation toward clicks rather than long-term brand equity.</w:t>
            </w:r>
          </w:p>
        </w:tc>
      </w:tr>
      <w:tr>
        <w:tc>
          <w:tcPr>
            <w:tcW w:type="dxa" w:w="5040"/>
            <w:vAlign w:val="top"/>
          </w:tcPr>
          <w:p>
            <w:pPr>
              <w:spacing w:after="0"/>
            </w:pPr>
            <w:r/>
            <w:r>
              <w:rPr>
                <w:b w:val="0"/>
                <w:sz w:val="18"/>
              </w:rPr>
              <w:t>Improved customer engagement through conversational interfaces.</w:t>
            </w:r>
          </w:p>
        </w:tc>
        <w:tc>
          <w:tcPr>
            <w:tcW w:type="dxa" w:w="5328"/>
            <w:vAlign w:val="top"/>
          </w:tcPr>
          <w:p>
            <w:pPr>
              <w:spacing w:after="0"/>
            </w:pPr>
            <w:r/>
            <w:r>
              <w:rPr>
                <w:b w:val="0"/>
                <w:sz w:val="18"/>
              </w:rPr>
              <w:t>Privacy and consent risks under DPDP if personal data is misused.</w:t>
            </w:r>
          </w:p>
        </w:tc>
      </w:tr>
      <w:tr>
        <w:tc>
          <w:tcPr>
            <w:tcW w:type="dxa" w:w="5040"/>
            <w:vAlign w:val="top"/>
          </w:tcPr>
          <w:p>
            <w:pPr>
              <w:spacing w:after="0"/>
            </w:pPr>
            <w:r/>
            <w:r>
              <w:rPr>
                <w:b w:val="0"/>
                <w:sz w:val="18"/>
              </w:rPr>
              <w:t>Democratised creativity for SMEs and smaller brands.</w:t>
            </w:r>
          </w:p>
        </w:tc>
        <w:tc>
          <w:tcPr>
            <w:tcW w:type="dxa" w:w="5328"/>
            <w:vAlign w:val="top"/>
          </w:tcPr>
          <w:p>
            <w:pPr>
              <w:spacing w:after="0"/>
            </w:pPr>
            <w:r/>
            <w:r>
              <w:rPr>
                <w:b w:val="0"/>
                <w:sz w:val="18"/>
              </w:rPr>
              <w:t>Sameness and loss of brand distinctiveness if everyone uses similar tools.</w:t>
            </w:r>
          </w:p>
        </w:tc>
      </w:tr>
      <w:tr>
        <w:tc>
          <w:tcPr>
            <w:tcW w:type="dxa" w:w="5040"/>
            <w:vAlign w:val="top"/>
          </w:tcPr>
          <w:p>
            <w:pPr>
              <w:spacing w:after="0"/>
            </w:pPr>
            <w:r/>
            <w:r>
              <w:rPr>
                <w:b w:val="0"/>
                <w:sz w:val="18"/>
              </w:rPr>
              <w:t>Better marketing operations through summarisation, tagging, and reporting.</w:t>
            </w:r>
          </w:p>
        </w:tc>
        <w:tc>
          <w:tcPr>
            <w:tcW w:type="dxa" w:w="5328"/>
            <w:vAlign w:val="top"/>
          </w:tcPr>
          <w:p>
            <w:pPr>
              <w:spacing w:after="0"/>
            </w:pPr>
            <w:r/>
            <w:r>
              <w:rPr>
                <w:b w:val="0"/>
                <w:sz w:val="18"/>
              </w:rPr>
              <w:t>Skill erosion if teams stop developing judgement and craft.</w:t>
            </w:r>
          </w:p>
        </w:tc>
      </w:tr>
    </w:tbl>
    <w:p/>
    <w:p>
      <w:pPr>
        <w:pStyle w:val="Heading2"/>
      </w:pPr>
      <w:r>
        <w:t>2.5 Future Trends</w:t>
      </w:r>
    </w:p>
    <w:p>
      <w:pPr>
        <w:pStyle w:val="ListBullet"/>
        <w:spacing w:after="60"/>
      </w:pPr>
      <w:r>
        <w:rPr>
          <w:b/>
        </w:rPr>
        <w:t xml:space="preserve">Agentic marketing — </w:t>
      </w:r>
      <w:r>
        <w:t>AI agents will increasingly help plan, generate, launch, monitor, and optimise campaigns, with human approval gates.</w:t>
      </w:r>
    </w:p>
    <w:p>
      <w:pPr>
        <w:pStyle w:val="ListBullet"/>
        <w:spacing w:after="60"/>
      </w:pPr>
      <w:r>
        <w:rPr>
          <w:b/>
        </w:rPr>
        <w:t xml:space="preserve">Multimodal, vernacular-first GenAI — </w:t>
      </w:r>
      <w:r>
        <w:t>text, image, voice, and video generation will become more useful for Indian languages and cultural contexts.</w:t>
      </w:r>
    </w:p>
    <w:p>
      <w:pPr>
        <w:pStyle w:val="ListBullet"/>
        <w:spacing w:after="60"/>
      </w:pPr>
      <w:r>
        <w:rPr>
          <w:b/>
        </w:rPr>
        <w:t xml:space="preserve">AI-assisted measurement — </w:t>
      </w:r>
      <w:r>
        <w:t>GenAI will support attribution narratives, campaign diagnostics, creative analytics, and executive reporting.</w:t>
      </w:r>
    </w:p>
    <w:p>
      <w:pPr>
        <w:pStyle w:val="ListBullet"/>
        <w:spacing w:after="60"/>
      </w:pPr>
      <w:r>
        <w:rPr>
          <w:b/>
        </w:rPr>
        <w:t xml:space="preserve">Privacy-first personalisation — </w:t>
      </w:r>
      <w:r>
        <w:t>first-party data, consent management, data minimisation, and explainable customer targeting will become more important.</w:t>
      </w:r>
    </w:p>
    <w:p>
      <w:pPr>
        <w:pStyle w:val="ListBullet"/>
        <w:spacing w:after="60"/>
      </w:pPr>
      <w:r>
        <w:rPr>
          <w:b/>
        </w:rPr>
        <w:t xml:space="preserve">Human + AI creative operating model — </w:t>
      </w:r>
      <w:r>
        <w:t>the best teams will use AI for speed and breadth, while humans protect strategy, empathy, ethics, and brand judgement.</w:t>
      </w:r>
    </w:p>
    <w:p>
      <w:pPr>
        <w:pStyle w:val="Heading1"/>
      </w:pPr>
      <w:r>
        <w:t>3. Part 2 — Professional Interview Substitute and GenAI Role-Play</w:t>
      </w:r>
    </w:p>
    <w:p>
      <w:pPr>
        <w:pStyle w:val="Heading2"/>
      </w:pPr>
      <w:r>
        <w:t>3.1 Interview Preparation Questions</w:t>
      </w:r>
    </w:p>
    <w:p>
      <w:pPr>
        <w:pStyle w:val="ListNumber"/>
        <w:spacing w:after="60"/>
      </w:pPr>
      <w:r>
        <w:t>Where is generative AI actually delivering value in marketing work today, and where has it disappointed?</w:t>
      </w:r>
    </w:p>
    <w:p>
      <w:pPr>
        <w:pStyle w:val="ListNumber"/>
        <w:spacing w:after="60"/>
      </w:pPr>
      <w:r>
        <w:t>Which use cases are most mature: copy generation, creative generation, personalisation, chatbots, audience insight, or campaign optimisation?</w:t>
      </w:r>
    </w:p>
    <w:p>
      <w:pPr>
        <w:pStyle w:val="ListNumber"/>
        <w:spacing w:after="60"/>
      </w:pPr>
      <w:r>
        <w:t>What were the hardest implementation challenges: data, tooling, workflow integration, skills, legal review, or adoption?</w:t>
      </w:r>
    </w:p>
    <w:p>
      <w:pPr>
        <w:pStyle w:val="ListNumber"/>
        <w:spacing w:after="60"/>
      </w:pPr>
      <w:r>
        <w:t>How do you manage brand safety, accuracy, tone, and IP/copyright risk with generated content?</w:t>
      </w:r>
    </w:p>
    <w:p>
      <w:pPr>
        <w:pStyle w:val="ListNumber"/>
        <w:spacing w:after="60"/>
      </w:pPr>
      <w:r>
        <w:t>How do you handle data privacy and consent, especially under India’s DPDP Act?</w:t>
      </w:r>
    </w:p>
    <w:p>
      <w:pPr>
        <w:pStyle w:val="ListNumber"/>
        <w:spacing w:after="60"/>
      </w:pPr>
      <w:r>
        <w:t>How has GenAI changed the day-to-day work of marketing, creative, analytics, and agency teams?</w:t>
      </w:r>
    </w:p>
    <w:p>
      <w:pPr>
        <w:pStyle w:val="ListNumber"/>
        <w:spacing w:after="60"/>
      </w:pPr>
      <w:r>
        <w:t>How do you measure whether GenAI improves business outcomes, not just output volume?</w:t>
      </w:r>
    </w:p>
    <w:p>
      <w:pPr>
        <w:pStyle w:val="ListNumber"/>
        <w:spacing w:after="60"/>
      </w:pPr>
      <w:r>
        <w:t>What ethical lines should not be crossed in AI-generated marketing?</w:t>
      </w:r>
    </w:p>
    <w:p>
      <w:pPr>
        <w:pStyle w:val="ListNumber"/>
        <w:spacing w:after="60"/>
      </w:pPr>
      <w:r>
        <w:t>What capabilities should Indian marketing teams build internally versus source from agencies or platforms?</w:t>
      </w:r>
    </w:p>
    <w:p>
      <w:pPr>
        <w:pStyle w:val="ListNumber"/>
        <w:spacing w:after="60"/>
      </w:pPr>
      <w:r>
        <w:t>What will separate strong AI-enabled marketing teams from average ones over the next three years?</w:t>
      </w:r>
    </w:p>
    <w:p>
      <w:pPr>
        <w:pStyle w:val="Heading2"/>
      </w:pPr>
      <w:r>
        <w:t>3.2 Practitioner Perspective and Substitute Case-Based Interview Insights</w:t>
      </w:r>
    </w:p>
    <w:p>
      <w:pPr>
        <w:spacing w:after="120"/>
      </w:pPr>
      <w:r>
        <w:t>A direct interview with an Indian marketing professional was not available for this submission. As permitted by the assignment instructions, I used substitute online resources, company case material, and my own practitioner perspective from enterprise GenAI adoption, customer-engagement platforms, AI governance, and large-scale technology operations.</w:t>
      </w:r>
    </w:p>
    <w:p>
      <w:pPr>
        <w:spacing w:after="120"/>
      </w:pPr>
      <w:r>
        <w:t>While my direct experience is in enterprise technology and telecom rather than a marketing agency, the same operating issues appear in marketing at scale: data readiness, workflow integration, customer trust, human review, measurement, and governance. The case material from WATConsult/Dentsu and Mad Street Den/Vue.ai was used to ground the analysis in Indian marketing and martech examples.</w:t>
      </w:r>
    </w:p>
    <w:p>
      <w:pPr>
        <w:pStyle w:val="ListBullet"/>
        <w:spacing w:after="60"/>
      </w:pPr>
      <w:r>
        <w:rPr>
          <w:b/>
        </w:rPr>
        <w:t xml:space="preserve">Value is real but uneven — </w:t>
      </w:r>
      <w:r>
        <w:t>GenAI clearly accelerates first drafts, creative variants, content localisation, chatbot scripts, and customer-signal summarisation. It disappoints when teams expect final, accurate, on-brand, legally safe output without human review.</w:t>
      </w:r>
    </w:p>
    <w:p>
      <w:pPr>
        <w:pStyle w:val="ListBullet"/>
        <w:spacing w:after="60"/>
      </w:pPr>
      <w:r>
        <w:rPr>
          <w:b/>
        </w:rPr>
        <w:t xml:space="preserve">The hard part is not the model — </w:t>
      </w:r>
      <w:r>
        <w:t>the harder work is connecting AI to clean data, approved brand assets, product truth, consented customer data, and existing campaign workflows.</w:t>
      </w:r>
    </w:p>
    <w:p>
      <w:pPr>
        <w:pStyle w:val="ListBullet"/>
        <w:spacing w:after="60"/>
      </w:pPr>
      <w:r>
        <w:rPr>
          <w:b/>
        </w:rPr>
        <w:t xml:space="preserve">Governance must be designed early — </w:t>
      </w:r>
      <w:r>
        <w:t>brand safety, hallucination checks, privacy controls, IP review, and approval workflows are not optional once content becomes customer-facing.</w:t>
      </w:r>
    </w:p>
    <w:p>
      <w:pPr>
        <w:pStyle w:val="ListBullet"/>
        <w:spacing w:after="60"/>
      </w:pPr>
      <w:r>
        <w:rPr>
          <w:b/>
        </w:rPr>
        <w:t xml:space="preserve">Human roles shift upward — </w:t>
      </w:r>
      <w:r>
        <w:t>marketers move from producing every variant manually to briefing, reviewing, editing, testing, and making judgement calls.</w:t>
      </w:r>
    </w:p>
    <w:p>
      <w:pPr>
        <w:pStyle w:val="ListBullet"/>
        <w:spacing w:after="60"/>
      </w:pPr>
      <w:r>
        <w:rPr>
          <w:b/>
        </w:rPr>
        <w:t xml:space="preserve">Metrics need discipline — </w:t>
      </w:r>
      <w:r>
        <w:t>volume of generated content is not a business outcome. The useful metrics are conversion, cost per acquisition, engagement quality, lead quality, retention, brand sentiment, and customer trust.</w:t>
      </w:r>
    </w:p>
    <w:p>
      <w:pPr>
        <w:pStyle w:val="ListBullet"/>
        <w:spacing w:after="60"/>
      </w:pPr>
      <w:r>
        <w:rPr>
          <w:b/>
        </w:rPr>
        <w:t xml:space="preserve">Indian marketing needs vernacular depth — </w:t>
      </w:r>
      <w:r>
        <w:t>AI can help with multilingual scale, but local nuance, cultural timing, and festival context still require human judgement.</w:t>
      </w:r>
    </w:p>
    <w:p>
      <w:pPr>
        <w:pStyle w:val="Heading2"/>
      </w:pPr>
      <w:r>
        <w:t>3.3 GenAI Role-Play: Simulated Professional Interviews</w:t>
      </w:r>
    </w:p>
    <w:p>
      <w:pPr>
        <w:spacing w:after="120"/>
      </w:pPr>
      <w:r>
        <w:t>Using a generative AI tool, I created role-specific prompts to simulate professional interviews. The goal was not to treat the simulated responses as evidence, but to compare how GenAI answers against practitioner and case-based insight.</w:t>
      </w:r>
    </w:p>
    <w:p>
      <w:pPr>
        <w:pStyle w:val="Heading3"/>
        <w:spacing w:after="120"/>
      </w:pPr>
      <w:r>
        <w:t>Prompt 1: Digital Marketing Strategist at WATConsult / Dentsu Creative Isobar</w:t>
      </w:r>
    </w:p>
    <w:p>
      <w:pPr>
        <w:spacing w:after="120"/>
      </w:pPr>
      <w:r>
        <w:t>Prompt: “As a digital marketing strategist at an Indian digital agency such as WATConsult / Dentsu Creative Isobar, how do you use generative AI to create personalised marketing campaigns? Describe one realistic campaign workflow, implementation challenges, governance controls, and outcomes.”</w:t>
      </w:r>
    </w:p>
    <w:p>
      <w:pPr>
        <w:spacing w:after="120"/>
      </w:pPr>
      <w:r>
        <w:rPr>
          <w:b/>
        </w:rPr>
        <w:t xml:space="preserve">Generated response (verbatim): </w:t>
      </w:r>
      <w:r>
        <w:t>At our agency, generative AI sits across the campaign lifecycle, not just at the copy stage. Let me walk you through a realistic workflow for a festive-season campaign for a consumer brand targeting Tier-1 and Tier-2 cities.</w:t>
      </w:r>
    </w:p>
    <w:p>
      <w:pPr>
        <w:spacing w:after="120"/>
      </w:pPr>
      <w:r>
        <w:t>We start with audience and insight. I use GenAI to summarise social listening, past-campaign performance, and search trends into a brief, then segment the audience by language, region, and lifecycle stage. For a Diwali campaign we might define eight to ten micro-segments rather than one mass audience.</w:t>
      </w:r>
    </w:p>
    <w:p>
      <w:pPr>
        <w:spacing w:after="120"/>
      </w:pPr>
      <w:r>
        <w:t>Next is creative generation. The team uses GenAI to produce copy and creative variants in Hindi, Tamil, Telugu, Marathi, and English from a single approved brief, plus storyboards and short-video concepts. What used to take a week of production now takes a day or two, so we can test far more variants.</w:t>
      </w:r>
    </w:p>
    <w:p>
      <w:pPr>
        <w:spacing w:after="120"/>
      </w:pPr>
      <w:r>
        <w:t>Then engagement and optimisation. We wire a multilingual chatbot for the campaign landing pages and run continuous A/B tests, letting the model suggest which variants to scale and where to shift budget.</w:t>
      </w:r>
    </w:p>
    <w:p>
      <w:pPr>
        <w:spacing w:after="120"/>
      </w:pPr>
      <w:r>
        <w:t>On governance, nothing customer-facing ships without human review. We keep a brand-and-claims checklist, a hallucination and factual-accuracy check, legal sign-off for any offer or claim, and a cultural-sensitivity review per region. On outcomes, in a typical campaign we see meaningfully faster production and stronger engagement on personalised variants, though the exact lift depends on the brand and the baseline.</w:t>
      </w:r>
    </w:p>
    <w:p>
      <w:pPr>
        <w:spacing w:after="120"/>
      </w:pPr>
      <w:r>
        <w:t>Assessment of the generated response: The GenAI described campaign planning, audience segmentation, multilingual copy variants, creative generation, chatbot integration, and A/B testing. It gave a fluent campaign example and claimed improvements in engagement and production speed. The workflow was plausible, but the performance numbers were not verifiable and the response understated the review effort needed for brand, legal, and cultural fit.</w:t>
      </w:r>
    </w:p>
    <w:p>
      <w:pPr>
        <w:pStyle w:val="Heading3"/>
        <w:spacing w:after="120"/>
      </w:pPr>
      <w:r>
        <w:t>Prompt 2: Marketing Data Scientist</w:t>
      </w:r>
    </w:p>
    <w:p>
      <w:pPr>
        <w:spacing w:after="120"/>
      </w:pPr>
      <w:r>
        <w:t>Prompt: “As a marketing data scientist in India, what are the biggest implementation and ethical challenges of deploying generative AI for customer engagement, and how do you mitigate them?”</w:t>
      </w:r>
    </w:p>
    <w:p>
      <w:pPr>
        <w:spacing w:after="120"/>
      </w:pPr>
      <w:r>
        <w:rPr>
          <w:b/>
        </w:rPr>
        <w:t xml:space="preserve">Generated response (verbatim): </w:t>
      </w:r>
      <w:r>
        <w:t>The biggest challenges fall into three buckets: data, model behaviour, and ethics and governance.</w:t>
      </w:r>
    </w:p>
    <w:p>
      <w:pPr>
        <w:spacing w:after="120"/>
      </w:pPr>
      <w:r>
        <w:t>On data, the hard part is not the model but the inputs. Customer data is fragmented across CRM, web, app, and campaign tools, ownership is unclear, and consent status is inconsistent. Before any personalisation, we have to build a clean, consented, well-governed data foundation, which is most of the work.</w:t>
      </w:r>
    </w:p>
    <w:p>
      <w:pPr>
        <w:spacing w:after="120"/>
      </w:pPr>
      <w:r>
        <w:t>On model behaviour, the main risks are hallucination, bias across customer segments, and unstable output quality. We mitigate with retrieval grounding against approved brand and product content, evaluation sets that test for accuracy and tone, red-team testing, and human review for anything customer-facing.</w:t>
      </w:r>
    </w:p>
    <w:p>
      <w:pPr>
        <w:spacing w:after="120"/>
      </w:pPr>
      <w:r>
        <w:t>On ethics and governance, the priorities are consent and privacy under the DPDP Act, transparency about AI-generated content, and avoiding manipulative personalisation. We use consent management, data minimisation, access controls, audit trails, and clear escalation paths. Finally, on measurement, we track business outcomes such as conversion, cost per acquisition, and retention, not the volume of content generated, because output volume is easy to inflate and tells you nothing about value.</w:t>
      </w:r>
    </w:p>
    <w:p>
      <w:pPr>
        <w:spacing w:after="120"/>
      </w:pPr>
      <w:r>
        <w:t>Assessment of the generated response: The GenAI highlighted data quality, consent, bias, hallucination, measurement, and model evaluation. The mitigations were sensible: human review, guardrails, consent management, red-team testing, output evaluation, and performance dashboards. The answer was comprehensive, but it lacked lived details such as conflicting stakeholder priorities, messy data ownership, or how teams handle ambiguous accountability.</w:t>
      </w:r>
    </w:p>
    <w:p>
      <w:pPr>
        <w:pStyle w:val="Heading3"/>
        <w:spacing w:after="120"/>
      </w:pPr>
      <w:r>
        <w:t>Prompt 3: Brand Manager at an Indian D2C / Retail Brand</w:t>
      </w:r>
    </w:p>
    <w:p>
      <w:pPr>
        <w:spacing w:after="120"/>
      </w:pPr>
      <w:r>
        <w:t>Prompt: “As a brand manager at an Indian D2C or retail brand using GenAI for campaigns, how do you balance creative speed with brand distinctiveness, cultural sensitivity, privacy, and sales performance?”</w:t>
      </w:r>
    </w:p>
    <w:p>
      <w:pPr>
        <w:spacing w:after="120"/>
      </w:pPr>
      <w:r>
        <w:rPr>
          <w:b/>
        </w:rPr>
        <w:t xml:space="preserve">Generated response (verbatim): </w:t>
      </w:r>
      <w:r>
        <w:t>For a D2C brand, speed is a competitive advantage, but speed without brand discipline destroys distinctiveness, so I treat it as a balance to be designed, not assumed.</w:t>
      </w:r>
    </w:p>
    <w:p>
      <w:pPr>
        <w:spacing w:after="120"/>
      </w:pPr>
      <w:r>
        <w:t>To protect the brand while moving fast, we maintain a prompt library and a set of approved brand guidelines, tone-of-voice rules, and pre-cleared claims that the team prompts against. AI generates the first draft and the variants; a human creative lead always owns the final brand direction. That keeps output fast but on-brand.</w:t>
      </w:r>
    </w:p>
    <w:p>
      <w:pPr>
        <w:spacing w:after="120"/>
      </w:pPr>
      <w:r>
        <w:t>On cultural sensitivity, regional-language adaptation is not literal translation. We use AI for scale but rely on local reviewers for festival timing, idiom, and cultural nuance, because a tone-deaf festive ad can do more damage than a slow one.</w:t>
      </w:r>
    </w:p>
    <w:p>
      <w:pPr>
        <w:spacing w:after="120"/>
      </w:pPr>
      <w:r>
        <w:t>On privacy, personalisation only uses consented first-party data, and we are careful not to cross into content that feels intrusive. On sales performance, we A/B test AI-assisted creative against control and judge it on conversion and customer quality, not just clicks. The honest tension is that the pressure to launch quickly constantly competes with the time needed for proper brand and quality review, and managing that trade-off is the real job.</w:t>
      </w:r>
    </w:p>
    <w:p>
      <w:pPr>
        <w:spacing w:after="120"/>
      </w:pPr>
      <w:r>
        <w:t>Assessment of the generated response: The GenAI emphasised brand guidelines, prompt libraries, approved claims, human creative review, regional-language adaptation, and campaign testing. It correctly identified the risk of generic AI content and the need for human creative direction. Its limitation was that it treated governance as a clean checklist, whereas in reality the pressure to launch quickly often competes with quality review.</w:t>
      </w:r>
    </w:p>
    <w:p>
      <w:r>
        <w:br w:type="page"/>
      </w:r>
    </w:p>
    <w:p>
      <w:pPr>
        <w:pStyle w:val="Heading2"/>
      </w:pPr>
      <w:r>
        <w:t>3.4 Comparison and Analysis: Real-World Insight vs GenAI-Generated Responses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D9EAF7"/>
          </w:tcPr>
          <w:p>
            <w:pPr>
              <w:spacing w:after="0"/>
            </w:pPr>
            <w:r/>
            <w:r>
              <w:rPr>
                <w:b/>
                <w:sz w:val="18"/>
              </w:rPr>
              <w:t>Dimension</w:t>
            </w:r>
          </w:p>
        </w:tc>
        <w:tc>
          <w:tcPr>
            <w:tcW w:type="dxa" w:w="4320"/>
            <w:shd w:fill="D9EAF7"/>
          </w:tcPr>
          <w:p>
            <w:pPr>
              <w:spacing w:after="0"/>
            </w:pPr>
            <w:r/>
            <w:r>
              <w:rPr>
                <w:b/>
                <w:sz w:val="18"/>
              </w:rPr>
              <w:t>Practitioner / Case-Based Perspective</w:t>
            </w:r>
          </w:p>
        </w:tc>
        <w:tc>
          <w:tcPr>
            <w:tcW w:type="dxa" w:w="4320"/>
            <w:shd w:fill="D9EAF7"/>
          </w:tcPr>
          <w:p>
            <w:pPr>
              <w:spacing w:after="0"/>
            </w:pPr>
            <w:r/>
            <w:r>
              <w:rPr>
                <w:b/>
                <w:sz w:val="18"/>
              </w:rPr>
              <w:t>GenAI-Simulated Response</w:t>
            </w:r>
          </w:p>
        </w:tc>
      </w:tr>
      <w:tr>
        <w:tc>
          <w:tcPr>
            <w:tcW w:type="dxa" w:w="1944"/>
            <w:vAlign w:val="top"/>
          </w:tcPr>
          <w:p>
            <w:pPr>
              <w:spacing w:after="0"/>
            </w:pPr>
            <w:r/>
            <w:r>
              <w:rPr>
                <w:b w:val="0"/>
                <w:sz w:val="18"/>
              </w:rPr>
              <w:t>Specificity</w:t>
            </w:r>
          </w:p>
        </w:tc>
        <w:tc>
          <w:tcPr>
            <w:tcW w:type="dxa" w:w="4320"/>
            <w:vAlign w:val="top"/>
          </w:tcPr>
          <w:p>
            <w:pPr>
              <w:spacing w:after="0"/>
            </w:pPr>
            <w:r/>
            <w:r>
              <w:rPr>
                <w:b w:val="0"/>
                <w:sz w:val="18"/>
              </w:rPr>
              <w:t>Grounded in operational constraints: data access, legal review, workflow integration, approvals, and adoption friction.</w:t>
            </w:r>
          </w:p>
        </w:tc>
        <w:tc>
          <w:tcPr>
            <w:tcW w:type="dxa" w:w="4320"/>
            <w:vAlign w:val="top"/>
          </w:tcPr>
          <w:p>
            <w:pPr>
              <w:spacing w:after="0"/>
            </w:pPr>
            <w:r/>
            <w:r>
              <w:rPr>
                <w:b w:val="0"/>
                <w:sz w:val="18"/>
              </w:rPr>
              <w:t>Fluent and broad, but sometimes invents campaign details or metrics.</w:t>
            </w:r>
          </w:p>
        </w:tc>
      </w:tr>
      <w:tr>
        <w:tc>
          <w:tcPr>
            <w:tcW w:type="dxa" w:w="1944"/>
            <w:vAlign w:val="top"/>
          </w:tcPr>
          <w:p>
            <w:pPr>
              <w:spacing w:after="0"/>
            </w:pPr>
            <w:r/>
            <w:r>
              <w:rPr>
                <w:b w:val="0"/>
                <w:sz w:val="18"/>
              </w:rPr>
              <w:t>Risk awareness</w:t>
            </w:r>
          </w:p>
        </w:tc>
        <w:tc>
          <w:tcPr>
            <w:tcW w:type="dxa" w:w="4320"/>
            <w:vAlign w:val="top"/>
          </w:tcPr>
          <w:p>
            <w:pPr>
              <w:spacing w:after="0"/>
            </w:pPr>
            <w:r/>
            <w:r>
              <w:rPr>
                <w:b w:val="0"/>
                <w:sz w:val="18"/>
              </w:rPr>
              <w:t>Treats brand safety, privacy, IP, hallucination, and trust as decision constraints.</w:t>
            </w:r>
          </w:p>
        </w:tc>
        <w:tc>
          <w:tcPr>
            <w:tcW w:type="dxa" w:w="4320"/>
            <w:vAlign w:val="top"/>
          </w:tcPr>
          <w:p>
            <w:pPr>
              <w:spacing w:after="0"/>
            </w:pPr>
            <w:r/>
            <w:r>
              <w:rPr>
                <w:b w:val="0"/>
                <w:sz w:val="18"/>
              </w:rPr>
              <w:t>Lists risks accurately, but often as a checklist rather than lived trade-offs.</w:t>
            </w:r>
          </w:p>
        </w:tc>
      </w:tr>
      <w:tr>
        <w:tc>
          <w:tcPr>
            <w:tcW w:type="dxa" w:w="1944"/>
            <w:vAlign w:val="top"/>
          </w:tcPr>
          <w:p>
            <w:pPr>
              <w:spacing w:after="0"/>
            </w:pPr>
            <w:r/>
            <w:r>
              <w:rPr>
                <w:b w:val="0"/>
                <w:sz w:val="18"/>
              </w:rPr>
              <w:t>Metrics</w:t>
            </w:r>
          </w:p>
        </w:tc>
        <w:tc>
          <w:tcPr>
            <w:tcW w:type="dxa" w:w="4320"/>
            <w:vAlign w:val="top"/>
          </w:tcPr>
          <w:p>
            <w:pPr>
              <w:spacing w:after="0"/>
            </w:pPr>
            <w:r/>
            <w:r>
              <w:rPr>
                <w:b w:val="0"/>
                <w:sz w:val="18"/>
              </w:rPr>
              <w:t>Insists on baselines, attribution, lift measurement, and business outcomes.</w:t>
            </w:r>
          </w:p>
        </w:tc>
        <w:tc>
          <w:tcPr>
            <w:tcW w:type="dxa" w:w="4320"/>
            <w:vAlign w:val="top"/>
          </w:tcPr>
          <w:p>
            <w:pPr>
              <w:spacing w:after="0"/>
            </w:pPr>
            <w:r/>
            <w:r>
              <w:rPr>
                <w:b w:val="0"/>
                <w:sz w:val="18"/>
              </w:rPr>
              <w:t>Often provides confident-sounding but unverifiable performance gains.</w:t>
            </w:r>
          </w:p>
        </w:tc>
      </w:tr>
      <w:tr>
        <w:tc>
          <w:tcPr>
            <w:tcW w:type="dxa" w:w="1944"/>
            <w:vAlign w:val="top"/>
          </w:tcPr>
          <w:p>
            <w:pPr>
              <w:spacing w:after="0"/>
            </w:pPr>
            <w:r/>
            <w:r>
              <w:rPr>
                <w:b w:val="0"/>
                <w:sz w:val="18"/>
              </w:rPr>
              <w:t>Nuance</w:t>
            </w:r>
          </w:p>
        </w:tc>
        <w:tc>
          <w:tcPr>
            <w:tcW w:type="dxa" w:w="4320"/>
            <w:vAlign w:val="top"/>
          </w:tcPr>
          <w:p>
            <w:pPr>
              <w:spacing w:after="0"/>
            </w:pPr>
            <w:r/>
            <w:r>
              <w:rPr>
                <w:b w:val="0"/>
                <w:sz w:val="18"/>
              </w:rPr>
              <w:t>Acknowledges organisational friction, unclear ownership, creative anxiety, and governance overhead.</w:t>
            </w:r>
          </w:p>
        </w:tc>
        <w:tc>
          <w:tcPr>
            <w:tcW w:type="dxa" w:w="4320"/>
            <w:vAlign w:val="top"/>
          </w:tcPr>
          <w:p>
            <w:pPr>
              <w:spacing w:after="0"/>
            </w:pPr>
            <w:r/>
            <w:r>
              <w:rPr>
                <w:b w:val="0"/>
                <w:sz w:val="18"/>
              </w:rPr>
              <w:t>Optimistic and smooth; understates implementation difficulty.</w:t>
            </w:r>
          </w:p>
        </w:tc>
      </w:tr>
      <w:tr>
        <w:tc>
          <w:tcPr>
            <w:tcW w:type="dxa" w:w="1944"/>
            <w:vAlign w:val="top"/>
          </w:tcPr>
          <w:p>
            <w:pPr>
              <w:spacing w:after="0"/>
            </w:pPr>
            <w:r/>
            <w:r>
              <w:rPr>
                <w:b w:val="0"/>
                <w:sz w:val="18"/>
              </w:rPr>
              <w:t>Usefulness</w:t>
            </w:r>
          </w:p>
        </w:tc>
        <w:tc>
          <w:tcPr>
            <w:tcW w:type="dxa" w:w="4320"/>
            <w:vAlign w:val="top"/>
          </w:tcPr>
          <w:p>
            <w:pPr>
              <w:spacing w:after="0"/>
            </w:pPr>
            <w:r/>
            <w:r>
              <w:rPr>
                <w:b w:val="0"/>
                <w:sz w:val="18"/>
              </w:rPr>
              <w:t>Slower, but credible for decision-making.</w:t>
            </w:r>
          </w:p>
        </w:tc>
        <w:tc>
          <w:tcPr>
            <w:tcW w:type="dxa" w:w="4320"/>
            <w:vAlign w:val="top"/>
          </w:tcPr>
          <w:p>
            <w:pPr>
              <w:spacing w:after="0"/>
            </w:pPr>
            <w:r/>
            <w:r>
              <w:rPr>
                <w:b w:val="0"/>
                <w:sz w:val="18"/>
              </w:rPr>
              <w:t>Fast, structured, and useful for first drafts, ideation, and question framing.</w:t>
            </w:r>
          </w:p>
        </w:tc>
      </w:tr>
      <w:tr>
        <w:tc>
          <w:tcPr>
            <w:tcW w:type="dxa" w:w="1944"/>
            <w:vAlign w:val="top"/>
          </w:tcPr>
          <w:p>
            <w:pPr>
              <w:spacing w:after="0"/>
            </w:pPr>
            <w:r/>
            <w:r>
              <w:rPr>
                <w:b w:val="0"/>
                <w:sz w:val="18"/>
              </w:rPr>
              <w:t>Ethics</w:t>
            </w:r>
          </w:p>
        </w:tc>
        <w:tc>
          <w:tcPr>
            <w:tcW w:type="dxa" w:w="4320"/>
            <w:vAlign w:val="top"/>
          </w:tcPr>
          <w:p>
            <w:pPr>
              <w:spacing w:after="0"/>
            </w:pPr>
            <w:r/>
            <w:r>
              <w:rPr>
                <w:b w:val="0"/>
                <w:sz w:val="18"/>
              </w:rPr>
              <w:t>Connects ethics to customer trust, consent, and brand accountability.</w:t>
            </w:r>
          </w:p>
        </w:tc>
        <w:tc>
          <w:tcPr>
            <w:tcW w:type="dxa" w:w="4320"/>
            <w:vAlign w:val="top"/>
          </w:tcPr>
          <w:p>
            <w:pPr>
              <w:spacing w:after="0"/>
            </w:pPr>
            <w:r/>
            <w:r>
              <w:rPr>
                <w:b w:val="0"/>
                <w:sz w:val="18"/>
              </w:rPr>
              <w:t>Explains ethical principles well but lacks accountability for real consequences.</w:t>
            </w:r>
          </w:p>
        </w:tc>
      </w:tr>
    </w:tbl>
    <w:p/>
    <w:p>
      <w:pPr>
        <w:spacing w:after="120"/>
      </w:pPr>
      <w:r>
        <w:t>The pattern is clear. GenAI is excellent at producing a coherent first answer, mapping the issue space, and generating structured options. But it generates plausibility, not truth. It may invent examples, overstate metrics, or flatten the messy organisational reality that practitioners face. The most reliable model is augmented intelligence: use GenAI for speed, breadth, and first drafts; use human professionals for accuracy, cultural judgement, ethics, brand distinctiveness, and final accountability.</w:t>
      </w:r>
    </w:p>
    <w:p>
      <w:pPr>
        <w:pStyle w:val="Heading1"/>
      </w:pPr>
      <w:r>
        <w:t>4. Part 3 — Comprehensive Conclusions and Future Outlook</w:t>
      </w:r>
    </w:p>
    <w:p>
      <w:pPr>
        <w:spacing w:after="120"/>
      </w:pPr>
      <w:r>
        <w:t>Generative AI is already a material force in Indian marketing. It accelerates copy and creative production, supports vernacular personalisation, improves conversational engagement, and helps teams interpret customer signals faster. WATConsult/Dentsu illustrates the agency and conversational-marketing path. Mad Street Den/Vue.ai illustrates the martech and retail-AI path, where product data quality, tagging, recommendations, and personalisation become marketing infrastructure.</w:t>
      </w:r>
    </w:p>
    <w:p>
      <w:pPr>
        <w:spacing w:after="120"/>
      </w:pPr>
      <w:r>
        <w:t>The benefits are practical: speed, scale, localisation, lower production cost, faster experimentation, and better customer relevance. The risks are equally real: hallucination, brand-safety failures, IP ambiguity, privacy exposure, bias, cultural flattening, and over-reliance on generic content. In India, the DPDP Act makes consent and data governance especially important for any AI-enabled personalisation.</w:t>
      </w:r>
    </w:p>
    <w:p>
      <w:pPr>
        <w:spacing w:after="120"/>
      </w:pPr>
      <w:r>
        <w:t>The future will be agentic, multimodal, vernacular-first, and privacy-first. AI agents will increasingly support campaign planning and optimisation. Multimodal tools will produce text, images, voice, and video together. Indian-language capability will become a major advantage. But the winning organisations will not be those that automate the most. They will be those that combine AI speed with human judgement, strong data discipline, brand clarity, and measurable business outcomes.</w:t>
      </w:r>
    </w:p>
    <w:p>
      <w:pPr>
        <w:pStyle w:val="Heading1"/>
      </w:pPr>
      <w:r>
        <w:t>5. Sources Reviewed</w:t>
      </w:r>
    </w:p>
    <w:p>
      <w:pPr>
        <w:spacing w:after="40"/>
      </w:pPr>
      <w:r>
        <w:t>1. Required Assignment 6.2 instructions and rubric</w:t>
      </w:r>
    </w:p>
    <w:p>
      <w:pPr>
        <w:spacing w:after="40"/>
      </w:pPr>
      <w:r>
        <w:t xml:space="preserve">2. Dentsu Digital Advertising Report 2025 — </w:t>
      </w:r>
      <w:hyperlink r:id="rId9">
        <w:r>
          <w:rPr>
            <w:color w:val="0563C1"/>
            <w:u w:val="single"/>
          </w:rPr>
          <w:t>https://www.dentsu.com/in/en/reports/asa___dentsu_digital_advertising_report_2025</w:t>
        </w:r>
      </w:hyperlink>
    </w:p>
    <w:p>
      <w:pPr>
        <w:spacing w:after="40"/>
      </w:pPr>
      <w:r>
        <w:t xml:space="preserve">3. WATConsult WATPapers: Consumer perspective on conversational marketing and AI-enabled chatbots — </w:t>
      </w:r>
      <w:hyperlink r:id="rId10">
        <w:r>
          <w:rPr>
            <w:color w:val="0563C1"/>
            <w:u w:val="single"/>
          </w:rPr>
          <w:t>https://www.watconsult.com/watpapers-consumers-perspective-on-conversational-marketing-ai-enabled-chatbots/</w:t>
        </w:r>
      </w:hyperlink>
    </w:p>
    <w:p>
      <w:pPr>
        <w:spacing w:after="40"/>
      </w:pPr>
      <w:r>
        <w:t xml:space="preserve">4. WATConsult WATPapers listing — </w:t>
      </w:r>
      <w:hyperlink r:id="rId11">
        <w:r>
          <w:rPr>
            <w:color w:val="0563C1"/>
            <w:u w:val="single"/>
          </w:rPr>
          <w:t>https://www.watconsult.com/watpapers/</w:t>
        </w:r>
      </w:hyperlink>
    </w:p>
    <w:p>
      <w:pPr>
        <w:spacing w:after="40"/>
      </w:pPr>
      <w:r>
        <w:t xml:space="preserve">5. Vue.ai Automated Product Tagging and Product Content Generation — </w:t>
      </w:r>
      <w:hyperlink r:id="rId12">
        <w:r>
          <w:rPr>
            <w:color w:val="0563C1"/>
            <w:u w:val="single"/>
          </w:rPr>
          <w:t>https://www.vue.ai/solutions/automated-product-tagging/</w:t>
        </w:r>
      </w:hyperlink>
    </w:p>
    <w:p>
      <w:pPr>
        <w:spacing w:after="40"/>
      </w:pPr>
      <w:r>
        <w:t xml:space="preserve">6. Vue.ai AI in eCommerce and Consumer Retail — </w:t>
      </w:r>
      <w:hyperlink r:id="rId13">
        <w:r>
          <w:rPr>
            <w:color w:val="0563C1"/>
            <w:u w:val="single"/>
          </w:rPr>
          <w:t>https://www.vue.ai/ai-in-ecommerce/</w:t>
        </w:r>
      </w:hyperlink>
    </w:p>
    <w:p>
      <w:pPr>
        <w:spacing w:after="40"/>
      </w:pPr>
      <w:r>
        <w:t xml:space="preserve">7. IndiaAI profile: Mad Street Den — </w:t>
      </w:r>
      <w:hyperlink r:id="rId14">
        <w:r>
          <w:rPr>
            <w:color w:val="0563C1"/>
            <w:u w:val="single"/>
          </w:rPr>
          <w:t>https://indiaai.gov.in/startup/mad-street-den</w:t>
        </w:r>
      </w:hyperlink>
    </w:p>
    <w:p>
      <w:pPr>
        <w:spacing w:after="40"/>
      </w:pPr>
      <w:r>
        <w:t xml:space="preserve">8. MEITY: Digital Personal Data Protection Act, 2023 — </w:t>
      </w:r>
      <w:hyperlink r:id="rId15">
        <w:r>
          <w:rPr>
            <w:color w:val="0563C1"/>
            <w:u w:val="single"/>
          </w:rPr>
          <w:t>https://www.meity.gov.in/static/uploads/2024/06/2bf1f0e9f04e6fb4f8fef35e82c42aa5.pdf</w:t>
        </w:r>
      </w:hyperlink>
    </w:p>
    <w:p>
      <w:pPr>
        <w:spacing w:after="40"/>
      </w:pPr>
      <w:r>
        <w:t xml:space="preserve">9. Reuters: Global firms use AI at Indian hubs to bring more ad work in-house — </w:t>
      </w:r>
      <w:hyperlink r:id="rId16">
        <w:r>
          <w:rPr>
            <w:color w:val="0563C1"/>
            <w:u w:val="single"/>
          </w:rPr>
          <w:t>https://www.reuters.com/business/media-telecom/global-firms-use-ai-at-indian-hubs-bring-more-ad-work-in-house-2026-05-27/</w:t>
        </w:r>
      </w:hyperlink>
    </w:p>
    <w:p>
      <w:pPr>
        <w:spacing w:after="40"/>
      </w:pPr>
      <w:r>
        <w:t xml:space="preserve">10. GroupM TYNY Trends 2025 PDF — </w:t>
      </w:r>
      <w:hyperlink r:id="rId17">
        <w:r>
          <w:rPr>
            <w:color w:val="0563C1"/>
            <w:u w:val="single"/>
          </w:rPr>
          <w:t>https://adtechtoday.com/wp-content/uploads/2025/02/GroupM-TYNY-Trends.pdf</w:t>
        </w:r>
      </w:hyperlink>
    </w:p>
    <w:sectPr w:rsidR="00FC693F" w:rsidRPr="0006063C" w:rsidSect="00034616">
      <w:footerReference w:type="default" r:id="rId18"/>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Assignment 6.2 - Leveraging Generative AI in Marketing | Raja Shekar Bollam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entsu.com/in/en/reports/asa___dentsu_digital_advertising_report_2025" TargetMode="External"/><Relationship Id="rId10" Type="http://schemas.openxmlformats.org/officeDocument/2006/relationships/hyperlink" Target="https://www.watconsult.com/watpapers-consumers-perspective-on-conversational-marketing-ai-enabled-chatbots/" TargetMode="External"/><Relationship Id="rId11" Type="http://schemas.openxmlformats.org/officeDocument/2006/relationships/hyperlink" Target="https://www.watconsult.com/watpapers/" TargetMode="External"/><Relationship Id="rId12" Type="http://schemas.openxmlformats.org/officeDocument/2006/relationships/hyperlink" Target="https://www.vue.ai/solutions/automated-product-tagging/" TargetMode="External"/><Relationship Id="rId13" Type="http://schemas.openxmlformats.org/officeDocument/2006/relationships/hyperlink" Target="https://www.vue.ai/ai-in-ecommerce/" TargetMode="External"/><Relationship Id="rId14" Type="http://schemas.openxmlformats.org/officeDocument/2006/relationships/hyperlink" Target="https://indiaai.gov.in/startup/mad-street-den" TargetMode="External"/><Relationship Id="rId15" Type="http://schemas.openxmlformats.org/officeDocument/2006/relationships/hyperlink" Target="https://www.meity.gov.in/static/uploads/2024/06/2bf1f0e9f04e6fb4f8fef35e82c42aa5.pdf" TargetMode="External"/><Relationship Id="rId16" Type="http://schemas.openxmlformats.org/officeDocument/2006/relationships/hyperlink" Target="https://www.reuters.com/business/media-telecom/global-firms-use-ai-at-indian-hubs-bring-more-ad-work-in-house-2026-05-27/" TargetMode="External"/><Relationship Id="rId17" Type="http://schemas.openxmlformats.org/officeDocument/2006/relationships/hyperlink" Target="https://adtechtoday.com/wp-content/uploads/2025/02/GroupM-TYNY-Trends.pdf"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