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3.2: AI Implementation Roadmap</w:t>
      </w:r>
    </w:p>
    <w:p>
      <w:pPr>
        <w:spacing w:after="40"/>
      </w:pPr>
      <w:r>
        <w:rPr>
          <w:color w:val="404040"/>
          <w:sz w:val="19"/>
        </w:rPr>
        <w:t>ISB Certificate Programme in Leadership with AI  |  Module 3: AI and Managerial Trade-offs</w:t>
      </w:r>
    </w:p>
    <w:p>
      <w:pPr>
        <w:spacing w:after="40"/>
      </w:pPr>
      <w:r>
        <w:rPr>
          <w:color w:val="404040"/>
          <w:sz w:val="19"/>
        </w:rPr>
        <w:t>Submitted by: [Your Name]        Date: [Date]        Organization referenced: AT&amp;T</w:t>
      </w:r>
    </w:p>
    <w:p/>
    <w:p>
      <w:pPr>
        <w:pStyle w:val="Heading2"/>
      </w:pPr>
      <w:r>
        <w:t>Introduction and Approach</w:t>
      </w:r>
    </w:p>
    <w:p>
      <w:pPr>
        <w:spacing w:after="160" w:line="276" w:lineRule="auto"/>
      </w:pPr>
      <w:r>
        <w:t>This roadmap contextualises the machine-learning concepts from Module 3 by applying a structured AI Maturity Model to two managerial functions at AT&amp;T: Network Operations Management and Customer Care &amp; Service Management. Both are core to a connectivity business, both are exceptionally data-rich, and both benefit from augmented intelligence — AI aiding human decision-making rather than replacing it.</w:t>
      </w:r>
    </w:p>
    <w:p>
      <w:pPr>
        <w:spacing w:after="160" w:line="276" w:lineRule="auto"/>
      </w:pPr>
      <w:r>
        <w:t>For each function the model progresses through four stages — Awareness, Active, Operational, and Transformational. The logic of the progression is deliberate: an organisation should build understanding and assess risk before committing capital, prove value on a contained pilot before industrialising, establish governance and infrastructure before scaling, and only then pursue transformational, self-optimising outcomes. Each stage below sets out its goal, indicative timeline, resources, and stakeholders, and then details every activity with the specific steps required to complete it. Timelines are indicative and assume a function-level rollout.</w:t>
      </w:r>
    </w:p>
    <w:p>
      <w:pPr>
        <w:pStyle w:val="Heading2"/>
      </w:pPr>
      <w:r>
        <w:t>Augmented Intelligence: The Missing Middle</w:t>
      </w:r>
    </w:p>
    <w:p>
      <w:pPr>
        <w:spacing w:after="160" w:line="276" w:lineRule="auto"/>
      </w:pPr>
      <w:r>
        <w:t>Module 3 frames the right operating model for enterprise AI as augmented intelligence — what the course calls the “missing middle,” where humans and machines work together rather than the machine replacing the human. AI contributes scale, speed, and pattern recognition across large volumes of data; the human contributes context, judgement, accountability, and ethical reasoning. In this roadmap every model advises or acts within a defined decision protocol: routine, high-confidence, low-consequence decisions may be automated, while novel, ambiguous, or network- and customer-critical decisions are escalated to a human who remains accountable for the outcome. That is the human-in-the-loop mandate established in each function’s Awareness stage, and it is what turns prediction into better managerial decisions rather than unaccountable automation.</w:t>
      </w:r>
    </w:p>
    <w:p>
      <w:pPr>
        <w:spacing w:after="160" w:line="276" w:lineRule="auto"/>
      </w:pPr>
      <w:r>
        <w:t>Designing for the missing middle also means designing around the limits Module 3 identifies. Machine-learning models surface correlation, not causation, so their output is treated as an input that informs the managerial decision rather than dictating it. Deep-learning models are often opaque, so explainability and bias review are built into governance before any model is allowed to affect a live decision. And none of this delivers value without AI readiness — high-quality data, executive sponsorship, digital infrastructure, and a culture willing to experiment — which is precisely why the maturity model below sequences readiness deliberately before scale.</w:t>
      </w:r>
    </w:p>
    <w:p>
      <w:pPr>
        <w:pStyle w:val="Heading2"/>
      </w:pPr>
      <w:r>
        <w:t>Function 1: Network Operations Management</w:t>
      </w:r>
    </w:p>
    <w:p>
      <w:pPr>
        <w:spacing w:after="160" w:line="276" w:lineRule="auto"/>
      </w:pPr>
      <w:r>
        <w:t>Network Operations Management runs AT&amp;T's wireless and fibre network — monitoring health, responding to faults, planning capacity, and dispatching field resources. It generates enormous volumes of telemetry, which makes it an ideal candidate for AI maturity. The managerial decisions at stake — where to dispatch crews, when to intervene on a degrading site, how to allocate capacity — are exactly the recurring, data-rich judgements that augmented intelligence improves. The target end-state is a network that anticipates and heals rather than one that is firefought.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3864"/>
          </w:tcPr>
          <w:p>
            <w:r/>
            <w:r>
              <w:rPr>
                <w:b/>
                <w:color w:val="FFFFFF"/>
                <w:sz w:val="19"/>
              </w:rPr>
              <w:t>Stage</w:t>
            </w:r>
          </w:p>
        </w:tc>
        <w:tc>
          <w:tcPr>
            <w:tcW w:type="dxa" w:w="3175"/>
            <w:shd w:fill="1F3864"/>
          </w:tcPr>
          <w:p>
            <w:r/>
            <w:r>
              <w:rPr>
                <w:b/>
                <w:color w:val="FFFFFF"/>
                <w:sz w:val="19"/>
              </w:rPr>
              <w:t>Primary Goal</w:t>
            </w:r>
          </w:p>
        </w:tc>
        <w:tc>
          <w:tcPr>
            <w:tcW w:type="dxa" w:w="1247"/>
            <w:shd w:fill="1F3864"/>
          </w:tcPr>
          <w:p>
            <w:r/>
            <w:r>
              <w:rPr>
                <w:b/>
                <w:color w:val="FFFFFF"/>
                <w:sz w:val="19"/>
              </w:rPr>
              <w:t>Timeline</w:t>
            </w:r>
          </w:p>
        </w:tc>
        <w:tc>
          <w:tcPr>
            <w:tcW w:type="dxa" w:w="2891"/>
            <w:shd w:fill="1F3864"/>
          </w:tcPr>
          <w:p>
            <w:r/>
            <w:r>
              <w:rPr>
                <w:b/>
                <w:color w:val="FFFFFF"/>
                <w:sz w:val="19"/>
              </w:rPr>
              <w:t>Exit Criteria</w:t>
            </w:r>
          </w:p>
        </w:tc>
      </w:tr>
      <w:tr>
        <w:tc>
          <w:tcPr>
            <w:tcW w:type="dxa" w:w="1417"/>
          </w:tcPr>
          <w:p>
            <w:r/>
            <w:r>
              <w:rPr>
                <w:sz w:val="19"/>
              </w:rPr>
              <w:t>Awareness</w:t>
            </w:r>
          </w:p>
        </w:tc>
        <w:tc>
          <w:tcPr>
            <w:tcW w:type="dxa" w:w="3175"/>
          </w:tcPr>
          <w:p>
            <w:r/>
            <w:r>
              <w:rPr>
                <w:sz w:val="19"/>
              </w:rPr>
              <w:t>Build shared understanding, assess feasibility and risk, secure sponsorship</w:t>
            </w:r>
          </w:p>
        </w:tc>
        <w:tc>
          <w:tcPr>
            <w:tcW w:type="dxa" w:w="1247"/>
          </w:tcPr>
          <w:p>
            <w:r/>
            <w:r>
              <w:rPr>
                <w:sz w:val="19"/>
              </w:rPr>
              <w:t>Months 0-3</w:t>
            </w:r>
          </w:p>
        </w:tc>
        <w:tc>
          <w:tcPr>
            <w:tcW w:type="dxa" w:w="2891"/>
          </w:tcPr>
          <w:p>
            <w:r/>
            <w:r>
              <w:rPr>
                <w:sz w:val="19"/>
              </w:rPr>
              <w:t>Prioritised use-case shortlist, named sponsor, risk register</w:t>
            </w:r>
          </w:p>
        </w:tc>
      </w:tr>
      <w:tr>
        <w:tc>
          <w:tcPr>
            <w:tcW w:type="dxa" w:w="1417"/>
          </w:tcPr>
          <w:p>
            <w:r/>
            <w:r>
              <w:rPr>
                <w:sz w:val="19"/>
              </w:rPr>
              <w:t>Active</w:t>
            </w:r>
          </w:p>
        </w:tc>
        <w:tc>
          <w:tcPr>
            <w:tcW w:type="dxa" w:w="3175"/>
          </w:tcPr>
          <w:p>
            <w:r/>
            <w:r>
              <w:rPr>
                <w:sz w:val="19"/>
              </w:rPr>
              <w:t>Prove value on a contained, measurable pilot</w:t>
            </w:r>
          </w:p>
        </w:tc>
        <w:tc>
          <w:tcPr>
            <w:tcW w:type="dxa" w:w="1247"/>
          </w:tcPr>
          <w:p>
            <w:r/>
            <w:r>
              <w:rPr>
                <w:sz w:val="19"/>
              </w:rPr>
              <w:t>Months 3-9</w:t>
            </w:r>
          </w:p>
        </w:tc>
        <w:tc>
          <w:tcPr>
            <w:tcW w:type="dxa" w:w="2891"/>
          </w:tcPr>
          <w:p>
            <w:r/>
            <w:r>
              <w:rPr>
                <w:sz w:val="19"/>
              </w:rPr>
              <w:t>Pilot meets pre-agreed success criteria; positive go decision</w:t>
            </w:r>
          </w:p>
        </w:tc>
      </w:tr>
      <w:tr>
        <w:tc>
          <w:tcPr>
            <w:tcW w:type="dxa" w:w="1417"/>
          </w:tcPr>
          <w:p>
            <w:r/>
            <w:r>
              <w:rPr>
                <w:sz w:val="19"/>
              </w:rPr>
              <w:t>Operational</w:t>
            </w:r>
          </w:p>
        </w:tc>
        <w:tc>
          <w:tcPr>
            <w:tcW w:type="dxa" w:w="3175"/>
          </w:tcPr>
          <w:p>
            <w:r/>
            <w:r>
              <w:rPr>
                <w:sz w:val="19"/>
              </w:rPr>
              <w:t>Industrialise the pilot into a governed, scaled capability</w:t>
            </w:r>
          </w:p>
        </w:tc>
        <w:tc>
          <w:tcPr>
            <w:tcW w:type="dxa" w:w="1247"/>
          </w:tcPr>
          <w:p>
            <w:r/>
            <w:r>
              <w:rPr>
                <w:sz w:val="19"/>
              </w:rPr>
              <w:t>Months 9-18</w:t>
            </w:r>
          </w:p>
        </w:tc>
        <w:tc>
          <w:tcPr>
            <w:tcW w:type="dxa" w:w="2891"/>
          </w:tcPr>
          <w:p>
            <w:r/>
            <w:r>
              <w:rPr>
                <w:sz w:val="19"/>
              </w:rPr>
              <w:t>Production capability live and scaling region by region</w:t>
            </w:r>
          </w:p>
        </w:tc>
      </w:tr>
      <w:tr>
        <w:tc>
          <w:tcPr>
            <w:tcW w:type="dxa" w:w="1417"/>
          </w:tcPr>
          <w:p>
            <w:r/>
            <w:r>
              <w:rPr>
                <w:sz w:val="19"/>
              </w:rPr>
              <w:t>Transformational</w:t>
            </w:r>
          </w:p>
        </w:tc>
        <w:tc>
          <w:tcPr>
            <w:tcW w:type="dxa" w:w="3175"/>
          </w:tcPr>
          <w:p>
            <w:r/>
            <w:r>
              <w:rPr>
                <w:sz w:val="19"/>
              </w:rPr>
              <w:t>Embed AI-first, self-optimising network operations</w:t>
            </w:r>
          </w:p>
        </w:tc>
        <w:tc>
          <w:tcPr>
            <w:tcW w:type="dxa" w:w="1247"/>
          </w:tcPr>
          <w:p>
            <w:r/>
            <w:r>
              <w:rPr>
                <w:sz w:val="19"/>
              </w:rPr>
              <w:t>Months 18+</w:t>
            </w:r>
          </w:p>
        </w:tc>
        <w:tc>
          <w:tcPr>
            <w:tcW w:type="dxa" w:w="2891"/>
          </w:tcPr>
          <w:p>
            <w:r/>
            <w:r>
              <w:rPr>
                <w:sz w:val="19"/>
              </w:rPr>
              <w:t>AI embedded in strategy, culture, and a funded innovation pipeline</w:t>
            </w:r>
          </w:p>
        </w:tc>
      </w:tr>
    </w:tbl>
    <w:p/>
    <w:p>
      <w:pPr>
        <w:pStyle w:val="Heading3"/>
      </w:pPr>
      <w:r>
        <w:t>Awareness Stage (Months 0-3)</w:t>
      </w:r>
    </w:p>
    <w:p>
      <w:pPr>
        <w:spacing w:after="120"/>
      </w:pPr>
      <w:r>
        <w:rPr>
          <w:i/>
          <w:color w:val="404040"/>
          <w:sz w:val="19"/>
        </w:rPr>
        <w:t>Goal: build understanding and assess risk before committing capital.  Resources: a part-time working group and a modest research budget.  Stakeholders: NOC leadership, network planning, field operations, vendor partners, HR/L&amp;D.</w:t>
      </w:r>
    </w:p>
    <w:p>
      <w:pPr>
        <w:spacing w:before="120" w:after="40"/>
      </w:pPr>
      <w:r>
        <w:rPr>
          <w:b/>
        </w:rPr>
        <w:t xml:space="preserve">Education and Training.  </w:t>
      </w:r>
      <w:r>
        <w:t>Create a common AI vocabulary so managers — not only engineers — can evaluate proposals.</w:t>
      </w:r>
    </w:p>
    <w:p>
      <w:pPr>
        <w:pStyle w:val="ListBullet"/>
        <w:spacing w:after="80"/>
      </w:pPr>
      <w:r>
        <w:t>Run a structured AI-literacy programme for network-operations managers covering ML fundamentals, the accuracy-versus-interpretability trade-off, and model limitations and bias.</w:t>
      </w:r>
    </w:p>
    <w:p>
      <w:pPr>
        <w:pStyle w:val="ListBullet"/>
        <w:spacing w:after="80"/>
      </w:pPr>
      <w:r>
        <w:t>Provide deeper, hands-on ML training for a selected cohort of NOC engineers who will form the initial delivery team.</w:t>
      </w:r>
    </w:p>
    <w:p>
      <w:pPr>
        <w:pStyle w:val="ListBullet"/>
        <w:spacing w:after="80"/>
      </w:pPr>
      <w:r>
        <w:t>Use vendor-led enablement to demonstrate the AI features already embedded in existing network-equipment platforms.</w:t>
      </w:r>
    </w:p>
    <w:p>
      <w:pPr>
        <w:spacing w:before="120" w:after="40"/>
      </w:pPr>
      <w:r>
        <w:rPr>
          <w:b/>
        </w:rPr>
        <w:t xml:space="preserve">Industry Research.  </w:t>
      </w:r>
      <w:r>
        <w:t>Ground the roadmap in proven results rather than hype.</w:t>
      </w:r>
    </w:p>
    <w:p>
      <w:pPr>
        <w:pStyle w:val="ListBullet"/>
        <w:spacing w:after="80"/>
      </w:pPr>
      <w:r>
        <w:t>Benchmark predictive-maintenance and AI-driven RAN-optimisation outcomes from comparable operators and published case studies.</w:t>
      </w:r>
    </w:p>
    <w:p>
      <w:pPr>
        <w:pStyle w:val="ListBullet"/>
        <w:spacing w:after="80"/>
      </w:pPr>
      <w:r>
        <w:t>Catalogue candidate use cases and score each on business value, data availability, and feasibility to create a prioritised shortlist.</w:t>
      </w:r>
    </w:p>
    <w:p>
      <w:pPr>
        <w:pStyle w:val="ListBullet"/>
        <w:spacing w:after="80"/>
      </w:pPr>
      <w:r>
        <w:t>Commission a focused feasibility assessment of the top two or three use cases.</w:t>
      </w:r>
    </w:p>
    <w:p>
      <w:pPr>
        <w:spacing w:before="120" w:after="40"/>
      </w:pPr>
      <w:r>
        <w:rPr>
          <w:b/>
        </w:rPr>
        <w:t xml:space="preserve">Stakeholder Engagement.  </w:t>
      </w:r>
      <w:r>
        <w:t>Secure authority, budget, and cross-functional buy-in.</w:t>
      </w:r>
    </w:p>
    <w:p>
      <w:pPr>
        <w:pStyle w:val="ListBullet"/>
        <w:spacing w:after="80"/>
      </w:pPr>
      <w:r>
        <w:t>Identify and brief a named executive sponsor empowered to allocate budget and remove blockers.</w:t>
      </w:r>
    </w:p>
    <w:p>
      <w:pPr>
        <w:pStyle w:val="ListBullet"/>
        <w:spacing w:after="80"/>
      </w:pPr>
      <w:r>
        <w:t>Form a cross-functional working group spanning NOC, network planning, field operations, and vendor partners.</w:t>
      </w:r>
    </w:p>
    <w:p>
      <w:pPr>
        <w:pStyle w:val="ListBullet"/>
        <w:spacing w:after="80"/>
      </w:pPr>
      <w:r>
        <w:t>Run workshops to gather frontline input and surface concerns early, so the roadmap is co-owned.</w:t>
      </w:r>
    </w:p>
    <w:p>
      <w:pPr>
        <w:spacing w:before="120" w:after="40"/>
      </w:pPr>
      <w:r>
        <w:rPr>
          <w:b/>
        </w:rPr>
        <w:t xml:space="preserve">Risk Assessment.  </w:t>
      </w:r>
      <w:r>
        <w:t>Name and plan for the principal risks before committing.</w:t>
      </w:r>
    </w:p>
    <w:p>
      <w:pPr>
        <w:pStyle w:val="ListBullet"/>
        <w:spacing w:after="80"/>
      </w:pPr>
      <w:r>
        <w:t>Conduct a structured risk workshop covering data quality, model reliability for network-critical decisions, vendor lock-in, and skills gaps.</w:t>
      </w:r>
    </w:p>
    <w:p>
      <w:pPr>
        <w:pStyle w:val="ListBullet"/>
        <w:spacing w:after="80"/>
      </w:pPr>
      <w:r>
        <w:t>Document each risk with its likelihood, impact, and an assigned owner in a living risk register.</w:t>
      </w:r>
    </w:p>
    <w:p>
      <w:pPr>
        <w:pStyle w:val="ListBullet"/>
        <w:spacing w:after="80"/>
      </w:pPr>
      <w:r>
        <w:t>Agree foundational controls — a human-in-the-loop mandate, a pre-modelling data-quality audit, and a deliberate multi-vendor posture.</w:t>
      </w:r>
    </w:p>
    <w:p>
      <w:pPr>
        <w:pStyle w:val="Heading3"/>
      </w:pPr>
      <w:r>
        <w:t>Active Stage (Months 3-9)</w:t>
      </w:r>
    </w:p>
    <w:p>
      <w:pPr>
        <w:spacing w:after="120"/>
      </w:pPr>
      <w:r>
        <w:rPr>
          <w:i/>
          <w:color w:val="404040"/>
          <w:sz w:val="19"/>
        </w:rPr>
        <w:t>Goal: prove value on a contained pilot with hard metrics.  Resources: a ring-fenced cross-functional squad and dedicated cloud-compute budget.  Stakeholders: executive sponsor, NOC, data science, MLOps, vendor partner.</w:t>
      </w:r>
    </w:p>
    <w:p>
      <w:pPr>
        <w:spacing w:before="120" w:after="40"/>
      </w:pPr>
      <w:r>
        <w:rPr>
          <w:b/>
        </w:rPr>
        <w:t xml:space="preserve">Pilot Projects.  </w:t>
      </w:r>
      <w:r>
        <w:t>Prove the concept on one well-bounded use case before committing more.</w:t>
      </w:r>
    </w:p>
    <w:p>
      <w:pPr>
        <w:pStyle w:val="ListBullet"/>
        <w:spacing w:after="80"/>
      </w:pPr>
      <w:r>
        <w:t>Select a single bounded use case — predictive maintenance on a defined cluster of cell sites.</w:t>
      </w:r>
    </w:p>
    <w:p>
      <w:pPr>
        <w:pStyle w:val="ListBullet"/>
        <w:spacing w:after="80"/>
      </w:pPr>
      <w:r>
        <w:t>Define success quantitatively: target reductions in unplanned outages and mean-time-to-repair against a measured baseline.</w:t>
      </w:r>
    </w:p>
    <w:p>
      <w:pPr>
        <w:pStyle w:val="ListBullet"/>
        <w:spacing w:after="80"/>
      </w:pPr>
      <w:r>
        <w:t>Run the pilot time-boxed, with a formal go/no-go decision at the end.</w:t>
      </w:r>
    </w:p>
    <w:p>
      <w:pPr>
        <w:spacing w:before="120" w:after="40"/>
      </w:pPr>
      <w:r>
        <w:rPr>
          <w:b/>
        </w:rPr>
        <w:t xml:space="preserve">Resource Allocation.  </w:t>
      </w:r>
      <w:r>
        <w:t>Give the pilot a protected, adequately resourced team.</w:t>
      </w:r>
    </w:p>
    <w:p>
      <w:pPr>
        <w:pStyle w:val="ListBullet"/>
        <w:spacing w:after="80"/>
      </w:pPr>
      <w:r>
        <w:t>Assign a dedicated squad — a data scientist, a network subject-matter expert, and an MLOps engineer — shielded from competing demands.</w:t>
      </w:r>
    </w:p>
    <w:p>
      <w:pPr>
        <w:pStyle w:val="ListBullet"/>
        <w:spacing w:after="80"/>
      </w:pPr>
      <w:r>
        <w:t>Ring-fence cloud-compute and tooling budget so the pilot is not starved mid-flight.</w:t>
      </w:r>
    </w:p>
    <w:p>
      <w:pPr>
        <w:pStyle w:val="ListBullet"/>
        <w:spacing w:after="80"/>
      </w:pPr>
      <w:r>
        <w:t>Keep scope deliberately narrow and resist scope creep that would blur the value signal.</w:t>
      </w:r>
    </w:p>
    <w:p>
      <w:pPr>
        <w:spacing w:before="120" w:after="40"/>
      </w:pPr>
      <w:r>
        <w:rPr>
          <w:b/>
        </w:rPr>
        <w:t xml:space="preserve">Data Preparation.  </w:t>
      </w:r>
      <w:r>
        <w:t>Build a reliable dataset and a pipeline that survives into production.</w:t>
      </w:r>
    </w:p>
    <w:p>
      <w:pPr>
        <w:pStyle w:val="ListBullet"/>
        <w:spacing w:after="80"/>
      </w:pPr>
      <w:r>
        <w:t>Consolidate telemetry from the selected sites into a single working dataset.</w:t>
      </w:r>
    </w:p>
    <w:p>
      <w:pPr>
        <w:pStyle w:val="ListBullet"/>
        <w:spacing w:after="80"/>
      </w:pPr>
      <w:r>
        <w:t>Clean the data and label historical failure events to create a trustworthy training set.</w:t>
      </w:r>
    </w:p>
    <w:p>
      <w:pPr>
        <w:pStyle w:val="ListBullet"/>
        <w:spacing w:after="80"/>
      </w:pPr>
      <w:r>
        <w:t>Build a repeatable feature pipeline so the pilot can transition to production without rework.</w:t>
      </w:r>
    </w:p>
    <w:p>
      <w:pPr>
        <w:spacing w:before="120" w:after="40"/>
      </w:pPr>
      <w:r>
        <w:rPr>
          <w:b/>
        </w:rPr>
        <w:t xml:space="preserve">Technology Evaluation.  </w:t>
      </w:r>
      <w:r>
        <w:t>Choose tooling on objective, decision-relevant criteria.</w:t>
      </w:r>
    </w:p>
    <w:p>
      <w:pPr>
        <w:pStyle w:val="ListBullet"/>
        <w:spacing w:after="80"/>
      </w:pPr>
      <w:r>
        <w:t>Define evaluation criteria — predictive accuracy, inference latency, explainability, integration with NOC tooling, and total cost.</w:t>
      </w:r>
    </w:p>
    <w:p>
      <w:pPr>
        <w:pStyle w:val="ListBullet"/>
        <w:spacing w:after="80"/>
      </w:pPr>
      <w:r>
        <w:t>Assess build-versus-buy options, including AI features already available in vendor platforms.</w:t>
      </w:r>
    </w:p>
    <w:p>
      <w:pPr>
        <w:pStyle w:val="ListBullet"/>
        <w:spacing w:after="80"/>
      </w:pPr>
      <w:r>
        <w:t>Select the option that best balances performance with operational fit, documenting the rationale.</w:t>
      </w:r>
    </w:p>
    <w:p>
      <w:pPr>
        <w:spacing w:before="120" w:after="40"/>
      </w:pPr>
      <w:r>
        <w:rPr>
          <w:b/>
        </w:rPr>
        <w:t xml:space="preserve">Performance Metrics.  </w:t>
      </w:r>
      <w:r>
        <w:t>Judge the pilot on business outcomes, not model accuracy alone.</w:t>
      </w:r>
    </w:p>
    <w:p>
      <w:pPr>
        <w:pStyle w:val="ListBullet"/>
        <w:spacing w:after="80"/>
      </w:pPr>
      <w:r>
        <w:t>Define the metric set before the pilot starts: outage-reduction percentage, mean-time-to-repair, false-positive rate, and avoided truck-roll cost.</w:t>
      </w:r>
    </w:p>
    <w:p>
      <w:pPr>
        <w:pStyle w:val="ListBullet"/>
        <w:spacing w:after="80"/>
      </w:pPr>
      <w:r>
        <w:t>Establish a clean baseline so improvement is measurable.</w:t>
      </w:r>
    </w:p>
    <w:p>
      <w:pPr>
        <w:pStyle w:val="ListBullet"/>
        <w:spacing w:after="80"/>
      </w:pPr>
      <w:r>
        <w:t>Review metrics weekly and base the go/no-go decision on the evidence.</w:t>
      </w:r>
    </w:p>
    <w:p>
      <w:pPr>
        <w:pStyle w:val="Heading3"/>
      </w:pPr>
      <w:r>
        <w:t>Operational Stage (Months 9-18)</w:t>
      </w:r>
    </w:p>
    <w:p>
      <w:pPr>
        <w:spacing w:after="120"/>
      </w:pPr>
      <w:r>
        <w:rPr>
          <w:i/>
          <w:color w:val="404040"/>
          <w:sz w:val="19"/>
        </w:rPr>
        <w:t>Goal: industrialise the pilot into a governed production capability and scale it.  Resources: platform and MLOps investment, an expanded team.  Stakeholders: NOC, IT/platform, risk and compliance, HR.</w:t>
      </w:r>
    </w:p>
    <w:p>
      <w:pPr>
        <w:spacing w:before="120" w:after="40"/>
      </w:pPr>
      <w:r>
        <w:rPr>
          <w:b/>
        </w:rPr>
        <w:t xml:space="preserve">Infrastructure Development.  </w:t>
      </w:r>
      <w:r>
        <w:t>Build the production foundation the pilot lacked.</w:t>
      </w:r>
    </w:p>
    <w:p>
      <w:pPr>
        <w:pStyle w:val="ListBullet"/>
        <w:spacing w:after="80"/>
      </w:pPr>
      <w:r>
        <w:t>Stand up production MLOps — a feature store, model registry, monitoring, and automated retraining.</w:t>
      </w:r>
    </w:p>
    <w:p>
      <w:pPr>
        <w:pStyle w:val="ListBullet"/>
        <w:spacing w:after="80"/>
      </w:pPr>
      <w:r>
        <w:t>Deploy edge inference where low latency is required for network actions.</w:t>
      </w:r>
    </w:p>
    <w:p>
      <w:pPr>
        <w:pStyle w:val="ListBullet"/>
        <w:spacing w:after="80"/>
      </w:pPr>
      <w:r>
        <w:t>Integrate the pipeline with existing network data sources and NOC systems.</w:t>
      </w:r>
    </w:p>
    <w:p>
      <w:pPr>
        <w:spacing w:before="120" w:after="40"/>
      </w:pPr>
      <w:r>
        <w:rPr>
          <w:b/>
        </w:rPr>
        <w:t xml:space="preserve">Process Integration.  </w:t>
      </w:r>
      <w:r>
        <w:t>Embed AI into how the NOC actually works.</w:t>
      </w:r>
    </w:p>
    <w:p>
      <w:pPr>
        <w:pStyle w:val="ListBullet"/>
        <w:spacing w:after="80"/>
      </w:pPr>
      <w:r>
        <w:t>Embed model alerts directly into NOC workflows and the ticketing system.</w:t>
      </w:r>
    </w:p>
    <w:p>
      <w:pPr>
        <w:pStyle w:val="ListBullet"/>
        <w:spacing w:after="80"/>
      </w:pPr>
      <w:r>
        <w:t>Define the decision protocol — precisely when AI acts automatically and when it advises a human.</w:t>
      </w:r>
    </w:p>
    <w:p>
      <w:pPr>
        <w:pStyle w:val="ListBullet"/>
        <w:spacing w:after="80"/>
      </w:pPr>
      <w:r>
        <w:t>Update standard operating procedures and runbooks to reflect the AI-in-the-loop process.</w:t>
      </w:r>
    </w:p>
    <w:p>
      <w:pPr>
        <w:spacing w:before="120" w:after="40"/>
      </w:pPr>
      <w:r>
        <w:rPr>
          <w:b/>
        </w:rPr>
        <w:t xml:space="preserve">Skill Development.  </w:t>
      </w:r>
      <w:r>
        <w:t>Build durable internal capability.</w:t>
      </w:r>
    </w:p>
    <w:p>
      <w:pPr>
        <w:pStyle w:val="ListBullet"/>
        <w:spacing w:after="80"/>
      </w:pPr>
      <w:r>
        <w:t>Upskill NOC engineers to interpret, trust, and act on model output.</w:t>
      </w:r>
    </w:p>
    <w:p>
      <w:pPr>
        <w:pStyle w:val="ListBullet"/>
        <w:spacing w:after="80"/>
      </w:pPr>
      <w:r>
        <w:t>Create dedicated MLOps and AI-operations roles with clear career paths.</w:t>
      </w:r>
    </w:p>
    <w:p>
      <w:pPr>
        <w:pStyle w:val="ListBullet"/>
        <w:spacing w:after="80"/>
      </w:pPr>
      <w:r>
        <w:t>Establish a certification path so capability is sustained as staff rotate.</w:t>
      </w:r>
    </w:p>
    <w:p>
      <w:pPr>
        <w:spacing w:before="120" w:after="40"/>
      </w:pPr>
      <w:r>
        <w:rPr>
          <w:b/>
        </w:rPr>
        <w:t xml:space="preserve">Governance and Compliance.  </w:t>
      </w:r>
      <w:r>
        <w:t>Make scaled AI safe and auditable.</w:t>
      </w:r>
    </w:p>
    <w:p>
      <w:pPr>
        <w:pStyle w:val="ListBullet"/>
        <w:spacing w:after="80"/>
      </w:pPr>
      <w:r>
        <w:t>Institute model-risk governance with documented review and approval before any deployment.</w:t>
      </w:r>
    </w:p>
    <w:p>
      <w:pPr>
        <w:pStyle w:val="ListBullet"/>
        <w:spacing w:after="80"/>
      </w:pPr>
      <w:r>
        <w:t>Apply change control to any model that can affect the live network.</w:t>
      </w:r>
    </w:p>
    <w:p>
      <w:pPr>
        <w:pStyle w:val="ListBullet"/>
        <w:spacing w:after="80"/>
      </w:pPr>
      <w:r>
        <w:t>Maintain audit trails and conduct periodic model-performance and bias reviews.</w:t>
      </w:r>
    </w:p>
    <w:p>
      <w:pPr>
        <w:spacing w:before="120" w:after="40"/>
      </w:pPr>
      <w:r>
        <w:rPr>
          <w:b/>
        </w:rPr>
        <w:t xml:space="preserve">Scaling Up.  </w:t>
      </w:r>
      <w:r>
        <w:t>Extend proven value across the network.</w:t>
      </w:r>
    </w:p>
    <w:p>
      <w:pPr>
        <w:pStyle w:val="ListBullet"/>
        <w:spacing w:after="80"/>
      </w:pPr>
      <w:r>
        <w:t>Roll out predictive maintenance region by region against a defined sequence.</w:t>
      </w:r>
    </w:p>
    <w:p>
      <w:pPr>
        <w:pStyle w:val="ListBullet"/>
        <w:spacing w:after="80"/>
      </w:pPr>
      <w:r>
        <w:t>Extend into adjacent use cases — congestion and capacity prediction — reusing the same platform.</w:t>
      </w:r>
    </w:p>
    <w:p>
      <w:pPr>
        <w:pStyle w:val="ListBullet"/>
        <w:spacing w:after="80"/>
      </w:pPr>
      <w:r>
        <w:t>Track cumulative value delivered and adjust the rollout based on results.</w:t>
      </w:r>
    </w:p>
    <w:p>
      <w:pPr>
        <w:pStyle w:val="Heading3"/>
      </w:pPr>
      <w:r>
        <w:t>Transformational Stage (Months 18+)</w:t>
      </w:r>
    </w:p>
    <w:p>
      <w:pPr>
        <w:spacing w:after="120"/>
      </w:pPr>
      <w:r>
        <w:rPr>
          <w:i/>
          <w:color w:val="404040"/>
          <w:sz w:val="19"/>
        </w:rPr>
        <w:t>Goal: embed AI-first, self-optimising network operations.  Resources: sustained platform investment and an innovation budget.  Stakeholders: corporate strategy, NOC, vendors, hyperscalers.</w:t>
      </w:r>
    </w:p>
    <w:p>
      <w:pPr>
        <w:spacing w:before="120" w:after="40"/>
      </w:pPr>
      <w:r>
        <w:rPr>
          <w:b/>
        </w:rPr>
        <w:t xml:space="preserve">Strategic Alignment.  </w:t>
      </w:r>
      <w:r>
        <w:t>Tie network AI to what the enterprise measures.</w:t>
      </w:r>
    </w:p>
    <w:p>
      <w:pPr>
        <w:pStyle w:val="ListBullet"/>
        <w:spacing w:after="80"/>
      </w:pPr>
      <w:r>
        <w:t>Link network-AI initiatives explicitly to corporate metrics — uptime, cost to serve, and customer experience.</w:t>
      </w:r>
    </w:p>
    <w:p>
      <w:pPr>
        <w:pStyle w:val="ListBullet"/>
        <w:spacing w:after="80"/>
      </w:pPr>
      <w:r>
        <w:t>Review the AI portfolio in the same forum that reviews strategic performance.</w:t>
      </w:r>
    </w:p>
    <w:p>
      <w:pPr>
        <w:pStyle w:val="ListBullet"/>
        <w:spacing w:after="80"/>
      </w:pPr>
      <w:r>
        <w:t>Fund initiatives on demonstrated strategic impact and retire those that do not deliver.</w:t>
      </w:r>
    </w:p>
    <w:p>
      <w:pPr>
        <w:spacing w:before="120" w:after="40"/>
      </w:pPr>
      <w:r>
        <w:rPr>
          <w:b/>
        </w:rPr>
        <w:t xml:space="preserve">Cultural Shift.  </w:t>
      </w:r>
      <w:r>
        <w:t>Make AI-first decision-making the norm.</w:t>
      </w:r>
    </w:p>
    <w:p>
      <w:pPr>
        <w:pStyle w:val="ListBullet"/>
        <w:spacing w:after="80"/>
      </w:pPr>
      <w:r>
        <w:t>Shift NOC metrics and incentives to reward prevention over firefighting.</w:t>
      </w:r>
    </w:p>
    <w:p>
      <w:pPr>
        <w:pStyle w:val="ListBullet"/>
        <w:spacing w:after="80"/>
      </w:pPr>
      <w:r>
        <w:t>Embed AI-first decision habits so engineers treat predictions as a normal, trusted input.</w:t>
      </w:r>
    </w:p>
    <w:p>
      <w:pPr>
        <w:pStyle w:val="ListBullet"/>
        <w:spacing w:after="80"/>
      </w:pPr>
      <w:r>
        <w:t>Share prevented-incident wins visibly to reinforce trust in the models.</w:t>
      </w:r>
    </w:p>
    <w:p>
      <w:pPr>
        <w:spacing w:before="120" w:after="40"/>
      </w:pPr>
      <w:r>
        <w:rPr>
          <w:b/>
        </w:rPr>
        <w:t xml:space="preserve">Ecosystem Engagement.  </w:t>
      </w:r>
      <w:r>
        <w:t>Extend AI capability beyond the organisation's walls.</w:t>
      </w:r>
    </w:p>
    <w:p>
      <w:pPr>
        <w:pStyle w:val="ListBullet"/>
        <w:spacing w:after="80"/>
      </w:pPr>
      <w:r>
        <w:t>Deepen joint AI development with network-equipment vendors and hyperscalers.</w:t>
      </w:r>
    </w:p>
    <w:p>
      <w:pPr>
        <w:pStyle w:val="ListBullet"/>
        <w:spacing w:after="80"/>
      </w:pPr>
      <w:r>
        <w:t>Participate in industry forums and standards work for network AI.</w:t>
      </w:r>
    </w:p>
    <w:p>
      <w:pPr>
        <w:pStyle w:val="ListBullet"/>
        <w:spacing w:after="80"/>
      </w:pPr>
      <w:r>
        <w:t>Contribute to and consume shared industry models where this accelerates value.</w:t>
      </w:r>
    </w:p>
    <w:p>
      <w:pPr>
        <w:spacing w:before="120" w:after="40"/>
      </w:pPr>
      <w:r>
        <w:rPr>
          <w:b/>
        </w:rPr>
        <w:t xml:space="preserve">Continuous Improvement.  </w:t>
      </w:r>
      <w:r>
        <w:t>Keep models current without manual effort.</w:t>
      </w:r>
    </w:p>
    <w:p>
      <w:pPr>
        <w:pStyle w:val="ListBullet"/>
        <w:spacing w:after="80"/>
      </w:pPr>
      <w:r>
        <w:t>Automate retraining and drift monitoring so models do not silently degrade.</w:t>
      </w:r>
    </w:p>
    <w:p>
      <w:pPr>
        <w:pStyle w:val="ListBullet"/>
        <w:spacing w:after="80"/>
      </w:pPr>
      <w:r>
        <w:t>Run structured post-incident reviews that feed learnings back into the models.</w:t>
      </w:r>
    </w:p>
    <w:p>
      <w:pPr>
        <w:pStyle w:val="ListBullet"/>
        <w:spacing w:after="80"/>
      </w:pPr>
      <w:r>
        <w:t>Track model-performance trends and intervene before degradation affects operations.</w:t>
      </w:r>
    </w:p>
    <w:p>
      <w:pPr>
        <w:spacing w:before="120" w:after="40"/>
      </w:pPr>
      <w:r>
        <w:rPr>
          <w:b/>
        </w:rPr>
        <w:t xml:space="preserve">Innovation Pipeline.  </w:t>
      </w:r>
      <w:r>
        <w:t>Stay ahead of the technology curve.</w:t>
      </w:r>
    </w:p>
    <w:p>
      <w:pPr>
        <w:pStyle w:val="ListBullet"/>
        <w:spacing w:after="80"/>
      </w:pPr>
      <w:r>
        <w:t>Establish a funded pipeline for next-generation capabilities — self-healing networks and autonomous RAN optimisation.</w:t>
      </w:r>
    </w:p>
    <w:p>
      <w:pPr>
        <w:pStyle w:val="ListBullet"/>
        <w:spacing w:after="80"/>
      </w:pPr>
      <w:r>
        <w:t>Pilot generative AI for network documentation, runbooks, and engineer assistance.</w:t>
      </w:r>
    </w:p>
    <w:p>
      <w:pPr>
        <w:pStyle w:val="ListBullet"/>
        <w:spacing w:after="80"/>
      </w:pPr>
      <w:r>
        <w:t>Maintain a horizon-scanning process so the function anticipates rather than reacts to new technology.</w:t>
      </w:r>
    </w:p>
    <w:p>
      <w:pPr>
        <w:pStyle w:val="Heading2"/>
      </w:pPr>
      <w:r>
        <w:t>Function 2: Customer Care &amp; Service Management</w:t>
      </w:r>
    </w:p>
    <w:p>
      <w:pPr>
        <w:spacing w:after="160" w:line="276" w:lineRule="auto"/>
      </w:pPr>
      <w:r>
        <w:t>Customer Care handles millions of service interactions across voice, chat, and digital channels. It is rich in conversational and transactional data and directly shapes customer satisfaction, churn, and cost to serve. The managerial decisions at stake — how to route and resolve interactions, which customers to intervene with, how to deploy agents — are recurring, data-rich judgements well suited to augmented intelligence. The target end-state is proactive service, resolving issues before the customer needs to call, with AI augmenting agents rather than replacing the human relationship.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F3864"/>
          </w:tcPr>
          <w:p>
            <w:r/>
            <w:r>
              <w:rPr>
                <w:b/>
                <w:color w:val="FFFFFF"/>
                <w:sz w:val="19"/>
              </w:rPr>
              <w:t>Stage</w:t>
            </w:r>
          </w:p>
        </w:tc>
        <w:tc>
          <w:tcPr>
            <w:tcW w:type="dxa" w:w="3175"/>
            <w:shd w:fill="1F3864"/>
          </w:tcPr>
          <w:p>
            <w:r/>
            <w:r>
              <w:rPr>
                <w:b/>
                <w:color w:val="FFFFFF"/>
                <w:sz w:val="19"/>
              </w:rPr>
              <w:t>Primary Goal</w:t>
            </w:r>
          </w:p>
        </w:tc>
        <w:tc>
          <w:tcPr>
            <w:tcW w:type="dxa" w:w="1247"/>
            <w:shd w:fill="1F3864"/>
          </w:tcPr>
          <w:p>
            <w:r/>
            <w:r>
              <w:rPr>
                <w:b/>
                <w:color w:val="FFFFFF"/>
                <w:sz w:val="19"/>
              </w:rPr>
              <w:t>Timeline</w:t>
            </w:r>
          </w:p>
        </w:tc>
        <w:tc>
          <w:tcPr>
            <w:tcW w:type="dxa" w:w="2891"/>
            <w:shd w:fill="1F3864"/>
          </w:tcPr>
          <w:p>
            <w:r/>
            <w:r>
              <w:rPr>
                <w:b/>
                <w:color w:val="FFFFFF"/>
                <w:sz w:val="19"/>
              </w:rPr>
              <w:t>Exit Criteria</w:t>
            </w:r>
          </w:p>
        </w:tc>
      </w:tr>
      <w:tr>
        <w:tc>
          <w:tcPr>
            <w:tcW w:type="dxa" w:w="1417"/>
          </w:tcPr>
          <w:p>
            <w:r/>
            <w:r>
              <w:rPr>
                <w:sz w:val="19"/>
              </w:rPr>
              <w:t>Awareness</w:t>
            </w:r>
          </w:p>
        </w:tc>
        <w:tc>
          <w:tcPr>
            <w:tcW w:type="dxa" w:w="3175"/>
          </w:tcPr>
          <w:p>
            <w:r/>
            <w:r>
              <w:rPr>
                <w:sz w:val="19"/>
              </w:rPr>
              <w:t>Build understanding, engage the frontline and legal early, assess risk</w:t>
            </w:r>
          </w:p>
        </w:tc>
        <w:tc>
          <w:tcPr>
            <w:tcW w:type="dxa" w:w="1247"/>
          </w:tcPr>
          <w:p>
            <w:r/>
            <w:r>
              <w:rPr>
                <w:sz w:val="19"/>
              </w:rPr>
              <w:t>Months 0-3</w:t>
            </w:r>
          </w:p>
        </w:tc>
        <w:tc>
          <w:tcPr>
            <w:tcW w:type="dxa" w:w="2891"/>
          </w:tcPr>
          <w:p>
            <w:r/>
            <w:r>
              <w:rPr>
                <w:sz w:val="19"/>
              </w:rPr>
              <w:t>Prioritised use cases, named sponsor, risk register co-owned with agents</w:t>
            </w:r>
          </w:p>
        </w:tc>
      </w:tr>
      <w:tr>
        <w:tc>
          <w:tcPr>
            <w:tcW w:type="dxa" w:w="1417"/>
          </w:tcPr>
          <w:p>
            <w:r/>
            <w:r>
              <w:rPr>
                <w:sz w:val="19"/>
              </w:rPr>
              <w:t>Active</w:t>
            </w:r>
          </w:p>
        </w:tc>
        <w:tc>
          <w:tcPr>
            <w:tcW w:type="dxa" w:w="3175"/>
          </w:tcPr>
          <w:p>
            <w:r/>
            <w:r>
              <w:rPr>
                <w:sz w:val="19"/>
              </w:rPr>
              <w:t>Prove value on contained agent-assist and churn pilots</w:t>
            </w:r>
          </w:p>
        </w:tc>
        <w:tc>
          <w:tcPr>
            <w:tcW w:type="dxa" w:w="1247"/>
          </w:tcPr>
          <w:p>
            <w:r/>
            <w:r>
              <w:rPr>
                <w:sz w:val="19"/>
              </w:rPr>
              <w:t>Months 3-9</w:t>
            </w:r>
          </w:p>
        </w:tc>
        <w:tc>
          <w:tcPr>
            <w:tcW w:type="dxa" w:w="2891"/>
          </w:tcPr>
          <w:p>
            <w:r/>
            <w:r>
              <w:rPr>
                <w:sz w:val="19"/>
              </w:rPr>
              <w:t>Pilots meet success criteria; positive go decision</w:t>
            </w:r>
          </w:p>
        </w:tc>
      </w:tr>
      <w:tr>
        <w:tc>
          <w:tcPr>
            <w:tcW w:type="dxa" w:w="1417"/>
          </w:tcPr>
          <w:p>
            <w:r/>
            <w:r>
              <w:rPr>
                <w:sz w:val="19"/>
              </w:rPr>
              <w:t>Operational</w:t>
            </w:r>
          </w:p>
        </w:tc>
        <w:tc>
          <w:tcPr>
            <w:tcW w:type="dxa" w:w="3175"/>
          </w:tcPr>
          <w:p>
            <w:r/>
            <w:r>
              <w:rPr>
                <w:sz w:val="19"/>
              </w:rPr>
              <w:t>Industrialise and scale across queues and channels</w:t>
            </w:r>
          </w:p>
        </w:tc>
        <w:tc>
          <w:tcPr>
            <w:tcW w:type="dxa" w:w="1247"/>
          </w:tcPr>
          <w:p>
            <w:r/>
            <w:r>
              <w:rPr>
                <w:sz w:val="19"/>
              </w:rPr>
              <w:t>Months 9-18</w:t>
            </w:r>
          </w:p>
        </w:tc>
        <w:tc>
          <w:tcPr>
            <w:tcW w:type="dxa" w:w="2891"/>
          </w:tcPr>
          <w:p>
            <w:r/>
            <w:r>
              <w:rPr>
                <w:sz w:val="19"/>
              </w:rPr>
              <w:t>Production capability live, governed, and scaling</w:t>
            </w:r>
          </w:p>
        </w:tc>
      </w:tr>
      <w:tr>
        <w:tc>
          <w:tcPr>
            <w:tcW w:type="dxa" w:w="1417"/>
          </w:tcPr>
          <w:p>
            <w:r/>
            <w:r>
              <w:rPr>
                <w:sz w:val="19"/>
              </w:rPr>
              <w:t>Transformational</w:t>
            </w:r>
          </w:p>
        </w:tc>
        <w:tc>
          <w:tcPr>
            <w:tcW w:type="dxa" w:w="3175"/>
          </w:tcPr>
          <w:p>
            <w:r/>
            <w:r>
              <w:rPr>
                <w:sz w:val="19"/>
              </w:rPr>
              <w:t>Embed proactive, AI-augmented customer service</w:t>
            </w:r>
          </w:p>
        </w:tc>
        <w:tc>
          <w:tcPr>
            <w:tcW w:type="dxa" w:w="1247"/>
          </w:tcPr>
          <w:p>
            <w:r/>
            <w:r>
              <w:rPr>
                <w:sz w:val="19"/>
              </w:rPr>
              <w:t>Months 18+</w:t>
            </w:r>
          </w:p>
        </w:tc>
        <w:tc>
          <w:tcPr>
            <w:tcW w:type="dxa" w:w="2891"/>
          </w:tcPr>
          <w:p>
            <w:r/>
            <w:r>
              <w:rPr>
                <w:sz w:val="19"/>
              </w:rPr>
              <w:t>AI embedded in strategy, culture, and a funded innovation pipeline</w:t>
            </w:r>
          </w:p>
        </w:tc>
      </w:tr>
    </w:tbl>
    <w:p/>
    <w:p>
      <w:pPr>
        <w:pStyle w:val="Heading3"/>
      </w:pPr>
      <w:r>
        <w:t>Awareness Stage (Months 0-3)</w:t>
      </w:r>
    </w:p>
    <w:p>
      <w:pPr>
        <w:spacing w:after="120"/>
      </w:pPr>
      <w:r>
        <w:rPr>
          <w:i/>
          <w:color w:val="404040"/>
          <w:sz w:val="19"/>
        </w:rPr>
        <w:t>Goal: build understanding, engage the frontline and privacy/legal partners early, and assess risk.  Resources: a part-time working group and a research budget.  Stakeholders: care operations, customer-experience leadership, legal and privacy, workforce representatives, HR.</w:t>
      </w:r>
    </w:p>
    <w:p>
      <w:pPr>
        <w:spacing w:before="120" w:after="40"/>
      </w:pPr>
      <w:r>
        <w:rPr>
          <w:b/>
        </w:rPr>
        <w:t xml:space="preserve">Education and Training.  </w:t>
      </w:r>
      <w:r>
        <w:t>Build understanding and address frontline anxiety directly.</w:t>
      </w:r>
    </w:p>
    <w:p>
      <w:pPr>
        <w:pStyle w:val="ListBullet"/>
        <w:spacing w:after="80"/>
      </w:pPr>
      <w:r>
        <w:t>Run AI-literacy sessions for care leaders covering capabilities, limits, and the augmented-intelligence principle.</w:t>
      </w:r>
    </w:p>
    <w:p>
      <w:pPr>
        <w:pStyle w:val="ListBullet"/>
        <w:spacing w:after="80"/>
      </w:pPr>
      <w:r>
        <w:t>Orient frontline agents on how AI assistance will support rather than replace them.</w:t>
      </w:r>
    </w:p>
    <w:p>
      <w:pPr>
        <w:pStyle w:val="ListBullet"/>
        <w:spacing w:after="80"/>
      </w:pPr>
      <w:r>
        <w:t>Train a cohort of care analysts on the data and metrics the AI will use.</w:t>
      </w:r>
    </w:p>
    <w:p>
      <w:pPr>
        <w:spacing w:before="120" w:after="40"/>
      </w:pPr>
      <w:r>
        <w:rPr>
          <w:b/>
        </w:rPr>
        <w:t xml:space="preserve">Industry Research.  </w:t>
      </w:r>
      <w:r>
        <w:t>Learn from proven contact-centre AI patterns.</w:t>
      </w:r>
    </w:p>
    <w:p>
      <w:pPr>
        <w:pStyle w:val="ListBullet"/>
        <w:spacing w:after="80"/>
      </w:pPr>
      <w:r>
        <w:t>Study proven patterns — call deflection, real-time agent assist, and sentiment analysis — and their measured results.</w:t>
      </w:r>
    </w:p>
    <w:p>
      <w:pPr>
        <w:pStyle w:val="ListBullet"/>
        <w:spacing w:after="80"/>
      </w:pPr>
      <w:r>
        <w:t>Benchmark customer-experience and cost-to-serve outcomes from peer organisations.</w:t>
      </w:r>
    </w:p>
    <w:p>
      <w:pPr>
        <w:pStyle w:val="ListBullet"/>
        <w:spacing w:after="80"/>
      </w:pPr>
      <w:r>
        <w:t>Shortlist and prioritise use cases by value, data readiness, and customer-trust risk.</w:t>
      </w:r>
    </w:p>
    <w:p>
      <w:pPr>
        <w:spacing w:before="120" w:after="40"/>
      </w:pPr>
      <w:r>
        <w:rPr>
          <w:b/>
        </w:rPr>
        <w:t xml:space="preserve">Stakeholder Engagement.  </w:t>
      </w:r>
      <w:r>
        <w:t>Co-design the roadmap with those it affects.</w:t>
      </w:r>
    </w:p>
    <w:p>
      <w:pPr>
        <w:pStyle w:val="ListBullet"/>
        <w:spacing w:after="80"/>
      </w:pPr>
      <w:r>
        <w:t>Secure an executive sponsor from customer-experience leadership.</w:t>
      </w:r>
    </w:p>
    <w:p>
      <w:pPr>
        <w:pStyle w:val="ListBullet"/>
        <w:spacing w:after="80"/>
      </w:pPr>
      <w:r>
        <w:t>Convene care operations, CX, legal and privacy (given CPNI obligations), workforce representatives, and IT.</w:t>
      </w:r>
    </w:p>
    <w:p>
      <w:pPr>
        <w:pStyle w:val="ListBullet"/>
        <w:spacing w:after="80"/>
      </w:pPr>
      <w:r>
        <w:t>Co-design the roadmap with frontline agents so adoption is built with them, not imposed on them.</w:t>
      </w:r>
    </w:p>
    <w:p>
      <w:pPr>
        <w:spacing w:before="120" w:after="40"/>
      </w:pPr>
      <w:r>
        <w:rPr>
          <w:b/>
        </w:rPr>
        <w:t xml:space="preserve">Risk Assessment.  </w:t>
      </w:r>
      <w:r>
        <w:t>Identify and mitigate trust, privacy, and workforce risks early.</w:t>
      </w:r>
    </w:p>
    <w:p>
      <w:pPr>
        <w:pStyle w:val="ListBullet"/>
        <w:spacing w:after="80"/>
      </w:pPr>
      <w:r>
        <w:t>Run a risk workshop covering customer-trust erosion from poor automation, privacy and CPNI exposure, model bias across customer segments, and agent-displacement anxiety.</w:t>
      </w:r>
    </w:p>
    <w:p>
      <w:pPr>
        <w:pStyle w:val="ListBullet"/>
        <w:spacing w:after="80"/>
      </w:pPr>
      <w:r>
        <w:t>Record each risk with an owner and mitigation in a living risk register.</w:t>
      </w:r>
    </w:p>
    <w:p>
      <w:pPr>
        <w:pStyle w:val="ListBullet"/>
        <w:spacing w:after="80"/>
      </w:pPr>
      <w:r>
        <w:t>Agree foundational controls — mandatory human escalation, privacy-by-design, bias testing, and an explicit augmentation-not-replacement commitment.</w:t>
      </w:r>
    </w:p>
    <w:p>
      <w:pPr>
        <w:pStyle w:val="Heading3"/>
      </w:pPr>
      <w:r>
        <w:t>Active Stage (Months 3-9)</w:t>
      </w:r>
    </w:p>
    <w:p>
      <w:pPr>
        <w:spacing w:after="120"/>
      </w:pPr>
      <w:r>
        <w:rPr>
          <w:i/>
          <w:color w:val="404040"/>
          <w:sz w:val="19"/>
        </w:rPr>
        <w:t>Goal: prove value on contained pilots with hard metrics.  Resources: a ring-fenced cross-functional squad and dedicated budget.  Stakeholders: sponsor, care operations, data science, MLOps, legal/privacy.</w:t>
      </w:r>
    </w:p>
    <w:p>
      <w:pPr>
        <w:spacing w:before="120" w:after="40"/>
      </w:pPr>
      <w:r>
        <w:rPr>
          <w:b/>
        </w:rPr>
        <w:t xml:space="preserve">Pilot Projects.  </w:t>
      </w:r>
      <w:r>
        <w:t>Prove value on two contained, measurable pilots.</w:t>
      </w:r>
    </w:p>
    <w:p>
      <w:pPr>
        <w:pStyle w:val="ListBullet"/>
        <w:spacing w:after="80"/>
      </w:pPr>
      <w:r>
        <w:t>Run an AI agent-assist pilot — real-time knowledge surfacing and suggested responses — on a subset of care queues.</w:t>
      </w:r>
    </w:p>
    <w:p>
      <w:pPr>
        <w:pStyle w:val="ListBullet"/>
        <w:spacing w:after="80"/>
      </w:pPr>
      <w:r>
        <w:t>Run a parallel churn-prediction and next-best-action pilot.</w:t>
      </w:r>
    </w:p>
    <w:p>
      <w:pPr>
        <w:pStyle w:val="ListBullet"/>
        <w:spacing w:after="80"/>
      </w:pPr>
      <w:r>
        <w:t>Set quantified success criteria for both and schedule a formal go/no-go review.</w:t>
      </w:r>
    </w:p>
    <w:p>
      <w:pPr>
        <w:spacing w:before="120" w:after="40"/>
      </w:pPr>
      <w:r>
        <w:rPr>
          <w:b/>
        </w:rPr>
        <w:t xml:space="preserve">Resource Allocation.  </w:t>
      </w:r>
      <w:r>
        <w:t>Resource the pilots adequately and protect their scope.</w:t>
      </w:r>
    </w:p>
    <w:p>
      <w:pPr>
        <w:pStyle w:val="ListBullet"/>
        <w:spacing w:after="80"/>
      </w:pPr>
      <w:r>
        <w:t>Assign a cross-functional squad with care, data-science, and MLOps skills.</w:t>
      </w:r>
    </w:p>
    <w:p>
      <w:pPr>
        <w:pStyle w:val="ListBullet"/>
        <w:spacing w:after="80"/>
      </w:pPr>
      <w:r>
        <w:t>Ring-fence budget and tooling for the pilots.</w:t>
      </w:r>
    </w:p>
    <w:p>
      <w:pPr>
        <w:pStyle w:val="ListBullet"/>
        <w:spacing w:after="80"/>
      </w:pPr>
      <w:r>
        <w:t>Limit scope to the chosen queues to keep the value signal clean.</w:t>
      </w:r>
    </w:p>
    <w:p>
      <w:pPr>
        <w:spacing w:before="120" w:after="40"/>
      </w:pPr>
      <w:r>
        <w:rPr>
          <w:b/>
        </w:rPr>
        <w:t xml:space="preserve">Data Preparation.  </w:t>
      </w:r>
      <w:r>
        <w:t>Assemble compliant, production-ready data.</w:t>
      </w:r>
    </w:p>
    <w:p>
      <w:pPr>
        <w:pStyle w:val="ListBullet"/>
        <w:spacing w:after="80"/>
      </w:pPr>
      <w:r>
        <w:t>Assemble care transcripts, CRM records, billing data, and network-experience signals.</w:t>
      </w:r>
    </w:p>
    <w:p>
      <w:pPr>
        <w:pStyle w:val="ListBullet"/>
        <w:spacing w:after="80"/>
      </w:pPr>
      <w:r>
        <w:t>Clean and structure the data, applying consent and CPNI checks before any use.</w:t>
      </w:r>
    </w:p>
    <w:p>
      <w:pPr>
        <w:pStyle w:val="ListBullet"/>
        <w:spacing w:after="80"/>
      </w:pPr>
      <w:r>
        <w:t>Build feature pipelines designed to carry through into production.</w:t>
      </w:r>
    </w:p>
    <w:p>
      <w:pPr>
        <w:spacing w:before="120" w:after="40"/>
      </w:pPr>
      <w:r>
        <w:rPr>
          <w:b/>
        </w:rPr>
        <w:t xml:space="preserve">Technology Evaluation.  </w:t>
      </w:r>
      <w:r>
        <w:t>Select tooling on objective, privacy-aware criteria.</w:t>
      </w:r>
    </w:p>
    <w:p>
      <w:pPr>
        <w:pStyle w:val="ListBullet"/>
        <w:spacing w:after="80"/>
      </w:pPr>
      <w:r>
        <w:t>Define criteria — accuracy, explainability, privacy controls, latency, and CRM/IVR integration.</w:t>
      </w:r>
    </w:p>
    <w:p>
      <w:pPr>
        <w:pStyle w:val="ListBullet"/>
        <w:spacing w:after="80"/>
      </w:pPr>
      <w:r>
        <w:t>Evaluate build-versus-buy, including capabilities in the existing customer-experience platform.</w:t>
      </w:r>
    </w:p>
    <w:p>
      <w:pPr>
        <w:pStyle w:val="ListBullet"/>
        <w:spacing w:after="80"/>
      </w:pPr>
      <w:r>
        <w:t>Select with a documented rationale.</w:t>
      </w:r>
    </w:p>
    <w:p>
      <w:pPr>
        <w:spacing w:before="120" w:after="40"/>
      </w:pPr>
      <w:r>
        <w:rPr>
          <w:b/>
        </w:rPr>
        <w:t xml:space="preserve">Performance Metrics.  </w:t>
      </w:r>
      <w:r>
        <w:t>Measure customer and cost outcomes, not model accuracy alone.</w:t>
      </w:r>
    </w:p>
    <w:p>
      <w:pPr>
        <w:pStyle w:val="ListBullet"/>
        <w:spacing w:after="80"/>
      </w:pPr>
      <w:r>
        <w:t>Define metrics upfront — average handle time, first-contact resolution, customer-satisfaction score, deflection rate, and churn saves.</w:t>
      </w:r>
    </w:p>
    <w:p>
      <w:pPr>
        <w:pStyle w:val="ListBullet"/>
        <w:spacing w:after="80"/>
      </w:pPr>
      <w:r>
        <w:t>Establish clean baselines.</w:t>
      </w:r>
    </w:p>
    <w:p>
      <w:pPr>
        <w:pStyle w:val="ListBullet"/>
        <w:spacing w:after="80"/>
      </w:pPr>
      <w:r>
        <w:t>Review weekly and decide the go/no-go on the evidence.</w:t>
      </w:r>
    </w:p>
    <w:p>
      <w:pPr>
        <w:pStyle w:val="Heading3"/>
      </w:pPr>
      <w:r>
        <w:t>Operational Stage (Months 9-18)</w:t>
      </w:r>
    </w:p>
    <w:p>
      <w:pPr>
        <w:spacing w:after="120"/>
      </w:pPr>
      <w:r>
        <w:rPr>
          <w:i/>
          <w:color w:val="404040"/>
          <w:sz w:val="19"/>
        </w:rPr>
        <w:t>Goal: industrialise and scale across queues and channels.  Resources: platform and MLOps investment, an expanded team.  Stakeholders: care operations, IT/platform, risk and compliance, HR.</w:t>
      </w:r>
    </w:p>
    <w:p>
      <w:pPr>
        <w:spacing w:before="120" w:after="40"/>
      </w:pPr>
      <w:r>
        <w:rPr>
          <w:b/>
        </w:rPr>
        <w:t xml:space="preserve">Infrastructure Development.  </w:t>
      </w:r>
      <w:r>
        <w:t>Build the production foundation for real-time AI.</w:t>
      </w:r>
    </w:p>
    <w:p>
      <w:pPr>
        <w:pStyle w:val="ListBullet"/>
        <w:spacing w:after="80"/>
      </w:pPr>
      <w:r>
        <w:t>Stand up production MLOps with real-time inference.</w:t>
      </w:r>
    </w:p>
    <w:p>
      <w:pPr>
        <w:pStyle w:val="ListBullet"/>
        <w:spacing w:after="80"/>
      </w:pPr>
      <w:r>
        <w:t>Integrate with the CRM, IVR, and agent desktop.</w:t>
      </w:r>
    </w:p>
    <w:p>
      <w:pPr>
        <w:pStyle w:val="ListBullet"/>
        <w:spacing w:after="80"/>
      </w:pPr>
      <w:r>
        <w:t>Implement monitoring and automated retraining.</w:t>
      </w:r>
    </w:p>
    <w:p>
      <w:pPr>
        <w:spacing w:before="120" w:after="40"/>
      </w:pPr>
      <w:r>
        <w:rPr>
          <w:b/>
        </w:rPr>
        <w:t xml:space="preserve">Process Integration.  </w:t>
      </w:r>
      <w:r>
        <w:t>Embed AI into care workflows with clear human boundaries.</w:t>
      </w:r>
    </w:p>
    <w:p>
      <w:pPr>
        <w:pStyle w:val="ListBullet"/>
        <w:spacing w:after="80"/>
      </w:pPr>
      <w:r>
        <w:t>Embed agent-assist and proactive-care prompts into standard care workflows.</w:t>
      </w:r>
    </w:p>
    <w:p>
      <w:pPr>
        <w:pStyle w:val="ListBullet"/>
        <w:spacing w:after="80"/>
      </w:pPr>
      <w:r>
        <w:t>Define escalation rules that route complex or sensitive cases to humans.</w:t>
      </w:r>
    </w:p>
    <w:p>
      <w:pPr>
        <w:pStyle w:val="ListBullet"/>
        <w:spacing w:after="80"/>
      </w:pPr>
      <w:r>
        <w:t>Update standard operating procedures and quality frameworks.</w:t>
      </w:r>
    </w:p>
    <w:p>
      <w:pPr>
        <w:spacing w:before="120" w:after="40"/>
      </w:pPr>
      <w:r>
        <w:rPr>
          <w:b/>
        </w:rPr>
        <w:t xml:space="preserve">Skill Development.  </w:t>
      </w:r>
      <w:r>
        <w:t>Reskill the workforce around AI-augmented care.</w:t>
      </w:r>
    </w:p>
    <w:p>
      <w:pPr>
        <w:pStyle w:val="ListBullet"/>
        <w:spacing w:after="80"/>
      </w:pPr>
      <w:r>
        <w:t>Reskill agents to supervise, curate, and correct AI output.</w:t>
      </w:r>
    </w:p>
    <w:p>
      <w:pPr>
        <w:pStyle w:val="ListBullet"/>
        <w:spacing w:after="80"/>
      </w:pPr>
      <w:r>
        <w:t>Create 'AI care specialist' roles with defined career paths.</w:t>
      </w:r>
    </w:p>
    <w:p>
      <w:pPr>
        <w:pStyle w:val="ListBullet"/>
        <w:spacing w:after="80"/>
      </w:pPr>
      <w:r>
        <w:t>Provide ongoing coaching as the capabilities evolve.</w:t>
      </w:r>
    </w:p>
    <w:p>
      <w:pPr>
        <w:spacing w:before="120" w:after="40"/>
      </w:pPr>
      <w:r>
        <w:rPr>
          <w:b/>
        </w:rPr>
        <w:t xml:space="preserve">Governance and Compliance.  </w:t>
      </w:r>
      <w:r>
        <w:t>Keep scaled, customer-facing AI safe and compliant.</w:t>
      </w:r>
    </w:p>
    <w:p>
      <w:pPr>
        <w:pStyle w:val="ListBullet"/>
        <w:spacing w:after="80"/>
      </w:pPr>
      <w:r>
        <w:t>Enforce CPNI compliance and privacy controls in production.</w:t>
      </w:r>
    </w:p>
    <w:p>
      <w:pPr>
        <w:pStyle w:val="ListBullet"/>
        <w:spacing w:after="80"/>
      </w:pPr>
      <w:r>
        <w:t>Run periodic bias audits across customer segments.</w:t>
      </w:r>
    </w:p>
    <w:p>
      <w:pPr>
        <w:pStyle w:val="ListBullet"/>
        <w:spacing w:after="80"/>
      </w:pPr>
      <w:r>
        <w:t>Maintain mandatory human-escalation paths and full audit trails.</w:t>
      </w:r>
    </w:p>
    <w:p>
      <w:pPr>
        <w:spacing w:before="120" w:after="40"/>
      </w:pPr>
      <w:r>
        <w:rPr>
          <w:b/>
        </w:rPr>
        <w:t xml:space="preserve">Scaling Up.  </w:t>
      </w:r>
      <w:r>
        <w:t>Extend proven value across the care organisation.</w:t>
      </w:r>
    </w:p>
    <w:p>
      <w:pPr>
        <w:pStyle w:val="ListBullet"/>
        <w:spacing w:after="80"/>
      </w:pPr>
      <w:r>
        <w:t>Extend agent-assist and proactive care across queues and channels.</w:t>
      </w:r>
    </w:p>
    <w:p>
      <w:pPr>
        <w:pStyle w:val="ListBullet"/>
        <w:spacing w:after="80"/>
      </w:pPr>
      <w:r>
        <w:t>Prioritise the highest-volume customer journeys.</w:t>
      </w:r>
    </w:p>
    <w:p>
      <w:pPr>
        <w:pStyle w:val="ListBullet"/>
        <w:spacing w:after="80"/>
      </w:pPr>
      <w:r>
        <w:t>Track cumulative impact and refine the rollout.</w:t>
      </w:r>
    </w:p>
    <w:p>
      <w:pPr>
        <w:pStyle w:val="Heading3"/>
      </w:pPr>
      <w:r>
        <w:t>Transformational Stage (Months 18+)</w:t>
      </w:r>
    </w:p>
    <w:p>
      <w:pPr>
        <w:spacing w:after="120"/>
      </w:pPr>
      <w:r>
        <w:rPr>
          <w:i/>
          <w:color w:val="404040"/>
          <w:sz w:val="19"/>
        </w:rPr>
        <w:t>Goal: embed proactive, AI-augmented customer service.  Resources: sustained platform investment and an innovation budget.  Stakeholders: corporate strategy, care operations, CX-platform vendors.</w:t>
      </w:r>
    </w:p>
    <w:p>
      <w:pPr>
        <w:spacing w:before="120" w:after="40"/>
      </w:pPr>
      <w:r>
        <w:rPr>
          <w:b/>
        </w:rPr>
        <w:t xml:space="preserve">Strategic Alignment.  </w:t>
      </w:r>
      <w:r>
        <w:t>Tie care AI to enterprise outcomes.</w:t>
      </w:r>
    </w:p>
    <w:p>
      <w:pPr>
        <w:pStyle w:val="ListBullet"/>
        <w:spacing w:after="80"/>
      </w:pPr>
      <w:r>
        <w:t>Link care-AI initiatives to Net Promoter Score, cost to serve, and churn.</w:t>
      </w:r>
    </w:p>
    <w:p>
      <w:pPr>
        <w:pStyle w:val="ListBullet"/>
        <w:spacing w:after="80"/>
      </w:pPr>
      <w:r>
        <w:t>Review the AI portfolio alongside strategic performance.</w:t>
      </w:r>
    </w:p>
    <w:p>
      <w:pPr>
        <w:pStyle w:val="ListBullet"/>
        <w:spacing w:after="80"/>
      </w:pPr>
      <w:r>
        <w:t>Fund initiatives on demonstrated impact.</w:t>
      </w:r>
    </w:p>
    <w:p>
      <w:pPr>
        <w:spacing w:before="120" w:after="40"/>
      </w:pPr>
      <w:r>
        <w:rPr>
          <w:b/>
        </w:rPr>
        <w:t xml:space="preserve">Cultural Shift.  </w:t>
      </w:r>
      <w:r>
        <w:t>Move care from reactive to genuinely proactive.</w:t>
      </w:r>
    </w:p>
    <w:p>
      <w:pPr>
        <w:pStyle w:val="ListBullet"/>
        <w:spacing w:after="80"/>
      </w:pPr>
      <w:r>
        <w:t>Reorient the function to resolve issues before the customer experiences them.</w:t>
      </w:r>
    </w:p>
    <w:p>
      <w:pPr>
        <w:pStyle w:val="ListBullet"/>
        <w:spacing w:after="80"/>
      </w:pPr>
      <w:r>
        <w:t>Reward prevention and customer outcomes, not handle time alone.</w:t>
      </w:r>
    </w:p>
    <w:p>
      <w:pPr>
        <w:pStyle w:val="ListBullet"/>
        <w:spacing w:after="80"/>
      </w:pPr>
      <w:r>
        <w:t>Reinforce the augmentation message through visible agent success stories.</w:t>
      </w:r>
    </w:p>
    <w:p>
      <w:pPr>
        <w:spacing w:before="120" w:after="40"/>
      </w:pPr>
      <w:r>
        <w:rPr>
          <w:b/>
        </w:rPr>
        <w:t xml:space="preserve">Ecosystem Engagement.  </w:t>
      </w:r>
      <w:r>
        <w:t>Extend capability through partners and integrated data.</w:t>
      </w:r>
    </w:p>
    <w:p>
      <w:pPr>
        <w:pStyle w:val="ListBullet"/>
        <w:spacing w:after="80"/>
      </w:pPr>
      <w:r>
        <w:t>Partner with customer-experience platform vendors on co-developed AI.</w:t>
      </w:r>
    </w:p>
    <w:p>
      <w:pPr>
        <w:pStyle w:val="ListBullet"/>
        <w:spacing w:after="80"/>
      </w:pPr>
      <w:r>
        <w:t>Integrate network and care data for an end-to-end view of the customer.</w:t>
      </w:r>
    </w:p>
    <w:p>
      <w:pPr>
        <w:pStyle w:val="ListBullet"/>
        <w:spacing w:after="80"/>
      </w:pPr>
      <w:r>
        <w:t>Participate in industry forums on customer-experience AI.</w:t>
      </w:r>
    </w:p>
    <w:p>
      <w:pPr>
        <w:spacing w:before="120" w:after="40"/>
      </w:pPr>
      <w:r>
        <w:rPr>
          <w:b/>
        </w:rPr>
        <w:t xml:space="preserve">Continuous Improvement.  </w:t>
      </w:r>
      <w:r>
        <w:t>Keep care models accurate and trusted.</w:t>
      </w:r>
    </w:p>
    <w:p>
      <w:pPr>
        <w:pStyle w:val="ListBullet"/>
        <w:spacing w:after="80"/>
      </w:pPr>
      <w:r>
        <w:t>Use feedback loops from satisfaction scores and resolution outcomes to drive retraining.</w:t>
      </w:r>
    </w:p>
    <w:p>
      <w:pPr>
        <w:pStyle w:val="ListBullet"/>
        <w:spacing w:after="80"/>
      </w:pPr>
      <w:r>
        <w:t>Monitor drift so models stay current.</w:t>
      </w:r>
    </w:p>
    <w:p>
      <w:pPr>
        <w:pStyle w:val="ListBullet"/>
        <w:spacing w:after="80"/>
      </w:pPr>
      <w:r>
        <w:t>Review escalations and failures in a structured way and feed learnings back.</w:t>
      </w:r>
    </w:p>
    <w:p>
      <w:pPr>
        <w:spacing w:before="120" w:after="40"/>
      </w:pPr>
      <w:r>
        <w:rPr>
          <w:b/>
        </w:rPr>
        <w:t xml:space="preserve">Innovation Pipeline.  </w:t>
      </w:r>
      <w:r>
        <w:t>Pursue the next generation of customer service.</w:t>
      </w:r>
    </w:p>
    <w:p>
      <w:pPr>
        <w:pStyle w:val="ListBullet"/>
        <w:spacing w:after="80"/>
      </w:pPr>
      <w:r>
        <w:t>Pilot generative-AI self-service and conversational assistants.</w:t>
      </w:r>
    </w:p>
    <w:p>
      <w:pPr>
        <w:pStyle w:val="ListBullet"/>
        <w:spacing w:after="80"/>
      </w:pPr>
      <w:r>
        <w:t>Develop fully proactive service journeys.</w:t>
      </w:r>
    </w:p>
    <w:p>
      <w:pPr>
        <w:pStyle w:val="ListBullet"/>
        <w:spacing w:after="80"/>
      </w:pPr>
      <w:r>
        <w:t>Explore AI voice agents for routine interactions, always retaining a human path for complex cases.</w:t>
      </w:r>
    </w:p>
    <w:p>
      <w:pPr>
        <w:pStyle w:val="Heading2"/>
      </w:pPr>
      <w:r>
        <w:t>Risk Management Summary</w:t>
      </w:r>
    </w:p>
    <w:p>
      <w:pPr>
        <w:spacing w:after="160" w:line="276" w:lineRule="auto"/>
      </w:pPr>
      <w:r>
        <w:t>Risk assessment begins in the Awareness stage of each function and is governed continuously thereafter through the model-risk governance established in the Operational stage. The principal cross-cutting risks, their potential impact, and mitigation strategies are summarised below.</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F3864"/>
          </w:tcPr>
          <w:p>
            <w:r/>
            <w:r>
              <w:rPr>
                <w:b/>
                <w:color w:val="FFFFFF"/>
                <w:sz w:val="19"/>
              </w:rPr>
              <w:t>Risk</w:t>
            </w:r>
          </w:p>
        </w:tc>
        <w:tc>
          <w:tcPr>
            <w:tcW w:type="dxa" w:w="3402"/>
            <w:shd w:fill="1F3864"/>
          </w:tcPr>
          <w:p>
            <w:r/>
            <w:r>
              <w:rPr>
                <w:b/>
                <w:color w:val="FFFFFF"/>
                <w:sz w:val="19"/>
              </w:rPr>
              <w:t>Potential Impact</w:t>
            </w:r>
          </w:p>
        </w:tc>
        <w:tc>
          <w:tcPr>
            <w:tcW w:type="dxa" w:w="4649"/>
            <w:shd w:fill="1F3864"/>
          </w:tcPr>
          <w:p>
            <w:r/>
            <w:r>
              <w:rPr>
                <w:b/>
                <w:color w:val="FFFFFF"/>
                <w:sz w:val="19"/>
              </w:rPr>
              <w:t>Mitigation Strategy</w:t>
            </w:r>
          </w:p>
        </w:tc>
      </w:tr>
      <w:tr>
        <w:tc>
          <w:tcPr>
            <w:tcW w:type="dxa" w:w="1701"/>
          </w:tcPr>
          <w:p>
            <w:r/>
            <w:r>
              <w:rPr>
                <w:sz w:val="19"/>
              </w:rPr>
              <w:t>Data quality and silos</w:t>
            </w:r>
          </w:p>
        </w:tc>
        <w:tc>
          <w:tcPr>
            <w:tcW w:type="dxa" w:w="3402"/>
          </w:tcPr>
          <w:p>
            <w:r/>
            <w:r>
              <w:rPr>
                <w:sz w:val="19"/>
              </w:rPr>
              <w:t>Fragmented, inconsistent OSS/BSS and CRM data undermines model reliability and delays delivery.</w:t>
            </w:r>
          </w:p>
        </w:tc>
        <w:tc>
          <w:tcPr>
            <w:tcW w:type="dxa" w:w="4649"/>
          </w:tcPr>
          <w:p>
            <w:r/>
            <w:r>
              <w:rPr>
                <w:sz w:val="19"/>
              </w:rPr>
              <w:t>Data-quality audit before modelling; investment in a unified data platform; treat data as a governed product with named owners.</w:t>
            </w:r>
          </w:p>
        </w:tc>
      </w:tr>
      <w:tr>
        <w:tc>
          <w:tcPr>
            <w:tcW w:type="dxa" w:w="1701"/>
          </w:tcPr>
          <w:p>
            <w:r/>
            <w:r>
              <w:rPr>
                <w:sz w:val="19"/>
              </w:rPr>
              <w:t>Over-reliance on immature models</w:t>
            </w:r>
          </w:p>
        </w:tc>
        <w:tc>
          <w:tcPr>
            <w:tcW w:type="dxa" w:w="3402"/>
          </w:tcPr>
          <w:p>
            <w:r/>
            <w:r>
              <w:rPr>
                <w:sz w:val="19"/>
              </w:rPr>
              <w:t>Acting automatically on incorrect predictions can damage the network or harm customers.</w:t>
            </w:r>
          </w:p>
        </w:tc>
        <w:tc>
          <w:tcPr>
            <w:tcW w:type="dxa" w:w="4649"/>
          </w:tcPr>
          <w:p>
            <w:r/>
            <w:r>
              <w:rPr>
                <w:sz w:val="19"/>
              </w:rPr>
              <w:t>Mandatory human-in-the-loop for any network- or customer-affecting action; staged automation only as confidence is proven.</w:t>
            </w:r>
          </w:p>
        </w:tc>
      </w:tr>
      <w:tr>
        <w:tc>
          <w:tcPr>
            <w:tcW w:type="dxa" w:w="1701"/>
          </w:tcPr>
          <w:p>
            <w:r/>
            <w:r>
              <w:rPr>
                <w:sz w:val="19"/>
              </w:rPr>
              <w:t>Privacy and regulation (CPNI)</w:t>
            </w:r>
          </w:p>
        </w:tc>
        <w:tc>
          <w:tcPr>
            <w:tcW w:type="dxa" w:w="3402"/>
          </w:tcPr>
          <w:p>
            <w:r/>
            <w:r>
              <w:rPr>
                <w:sz w:val="19"/>
              </w:rPr>
              <w:t>Misuse of customer data creates legal liability and erodes trust.</w:t>
            </w:r>
          </w:p>
        </w:tc>
        <w:tc>
          <w:tcPr>
            <w:tcW w:type="dxa" w:w="4649"/>
          </w:tcPr>
          <w:p>
            <w:r/>
            <w:r>
              <w:rPr>
                <w:sz w:val="19"/>
              </w:rPr>
              <w:t>Privacy-by-design; legal and compliance engaged from the Awareness stage; consent and CPNI checks before any data use.</w:t>
            </w:r>
          </w:p>
        </w:tc>
      </w:tr>
      <w:tr>
        <w:tc>
          <w:tcPr>
            <w:tcW w:type="dxa" w:w="1701"/>
          </w:tcPr>
          <w:p>
            <w:r/>
            <w:r>
              <w:rPr>
                <w:sz w:val="19"/>
              </w:rPr>
              <w:t>Model bias and drift</w:t>
            </w:r>
          </w:p>
        </w:tc>
        <w:tc>
          <w:tcPr>
            <w:tcW w:type="dxa" w:w="3402"/>
          </w:tcPr>
          <w:p>
            <w:r/>
            <w:r>
              <w:rPr>
                <w:sz w:val="19"/>
              </w:rPr>
              <w:t>Models may perform unevenly across customer or network segments, or degrade silently over time.</w:t>
            </w:r>
          </w:p>
        </w:tc>
        <w:tc>
          <w:tcPr>
            <w:tcW w:type="dxa" w:w="4649"/>
          </w:tcPr>
          <w:p>
            <w:r/>
            <w:r>
              <w:rPr>
                <w:sz w:val="19"/>
              </w:rPr>
              <w:t>Periodic bias audits across segments; automated drift monitoring and retraining; documented performance reviews.</w:t>
            </w:r>
          </w:p>
        </w:tc>
      </w:tr>
      <w:tr>
        <w:tc>
          <w:tcPr>
            <w:tcW w:type="dxa" w:w="1701"/>
          </w:tcPr>
          <w:p>
            <w:r/>
            <w:r>
              <w:rPr>
                <w:sz w:val="19"/>
              </w:rPr>
              <w:t>Workforce anxiety</w:t>
            </w:r>
          </w:p>
        </w:tc>
        <w:tc>
          <w:tcPr>
            <w:tcW w:type="dxa" w:w="3402"/>
          </w:tcPr>
          <w:p>
            <w:r/>
            <w:r>
              <w:rPr>
                <w:sz w:val="19"/>
              </w:rPr>
              <w:t>Fear of displacement reduces frontline adoption and trust, undermining the whole programme.</w:t>
            </w:r>
          </w:p>
        </w:tc>
        <w:tc>
          <w:tcPr>
            <w:tcW w:type="dxa" w:w="4649"/>
          </w:tcPr>
          <w:p>
            <w:r/>
            <w:r>
              <w:rPr>
                <w:sz w:val="19"/>
              </w:rPr>
              <w:t>Explicit augmentation-not-replacement commitment; reskilling paths; new AI-oriented roles; frontline co-design.</w:t>
            </w:r>
          </w:p>
        </w:tc>
      </w:tr>
      <w:tr>
        <w:tc>
          <w:tcPr>
            <w:tcW w:type="dxa" w:w="1701"/>
          </w:tcPr>
          <w:p>
            <w:r/>
            <w:r>
              <w:rPr>
                <w:sz w:val="19"/>
              </w:rPr>
              <w:t>Vendor lock-in</w:t>
            </w:r>
          </w:p>
        </w:tc>
        <w:tc>
          <w:tcPr>
            <w:tcW w:type="dxa" w:w="3402"/>
          </w:tcPr>
          <w:p>
            <w:r/>
            <w:r>
              <w:rPr>
                <w:sz w:val="19"/>
              </w:rPr>
              <w:t>Dependence on a single vendor limits flexibility and raises long-term cost.</w:t>
            </w:r>
          </w:p>
        </w:tc>
        <w:tc>
          <w:tcPr>
            <w:tcW w:type="dxa" w:w="4649"/>
          </w:tcPr>
          <w:p>
            <w:r/>
            <w:r>
              <w:rPr>
                <w:sz w:val="19"/>
              </w:rPr>
              <w:t>Deliberate multi-vendor posture; portable, standards-based architecture; build-versus-buy reviewed per use case.</w:t>
            </w:r>
          </w:p>
        </w:tc>
      </w:tr>
      <w:tr>
        <w:tc>
          <w:tcPr>
            <w:tcW w:type="dxa" w:w="1701"/>
          </w:tcPr>
          <w:p>
            <w:r/>
            <w:r>
              <w:rPr>
                <w:sz w:val="19"/>
              </w:rPr>
              <w:t>Pilots that never scale</w:t>
            </w:r>
          </w:p>
        </w:tc>
        <w:tc>
          <w:tcPr>
            <w:tcW w:type="dxa" w:w="3402"/>
          </w:tcPr>
          <w:p>
            <w:r/>
            <w:r>
              <w:rPr>
                <w:sz w:val="19"/>
              </w:rPr>
              <w:t>AI stalls at the pilot stage, consuming investment without enterprise value.</w:t>
            </w:r>
          </w:p>
        </w:tc>
        <w:tc>
          <w:tcPr>
            <w:tcW w:type="dxa" w:w="4649"/>
          </w:tcPr>
          <w:p>
            <w:r/>
            <w:r>
              <w:rPr>
                <w:sz w:val="19"/>
              </w:rPr>
              <w:t>Outcome-based go/no-go gates; an industrialised path to production; readiness for scale designed in from the Active stage.</w:t>
            </w:r>
          </w:p>
        </w:tc>
      </w:tr>
    </w:tbl>
    <w:p/>
    <w:p>
      <w:pPr>
        <w:pStyle w:val="Heading2"/>
      </w:pPr>
      <w:r>
        <w:t>Conclusion</w:t>
      </w:r>
    </w:p>
    <w:p>
      <w:pPr>
        <w:spacing w:after="160" w:line="276" w:lineRule="auto"/>
      </w:pPr>
      <w:r>
        <w:t>Applied to Network Operations and Customer Care, this maturity model turns AI from a set of isolated experiments into a managed organisational capability. The progression is deliberate: build awareness and assess risk before committing, prove value on contained pilots with outcome metrics, industrialise the path to production with proper governance and infrastructure, and only then scale and pursue transformational, augmented-intelligence outcomes. Detailing the activities and specific steps at each stage — and embedding risk management from the Awareness stage onward — is what allows AT&amp;T to advance AI maturity systematically in these two managerial functions, rather than stalling between pilot and production, which is the hardest transition in any AI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