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C788B" w14:textId="77777777" w:rsidR="00FB2F76" w:rsidRDefault="00000000">
      <w:pPr>
        <w:pStyle w:val="Heading1"/>
        <w:spacing w:after="40"/>
      </w:pPr>
      <w:r>
        <w:rPr>
          <w:b/>
          <w:bCs/>
          <w:color w:val="1F3864"/>
          <w:sz w:val="30"/>
          <w:szCs w:val="30"/>
        </w:rPr>
        <w:t>Required Assignment 17.1: Implementing Responsible AI Principles Using the NIST Framework</w:t>
      </w:r>
    </w:p>
    <w:p w14:paraId="5807E2B6" w14:textId="01D0590C" w:rsidR="00FB2F76" w:rsidRDefault="00000000">
      <w:pPr>
        <w:spacing w:before="60" w:after="60" w:line="300" w:lineRule="auto"/>
      </w:pPr>
      <w:r>
        <w:t>Name: Raja Shekar Bollam</w:t>
      </w:r>
    </w:p>
    <w:p w14:paraId="4191432C" w14:textId="77777777" w:rsidR="00FB2F76" w:rsidRDefault="00000000">
      <w:pPr>
        <w:pStyle w:val="Heading2"/>
        <w:spacing w:before="260" w:after="100"/>
      </w:pPr>
      <w:r>
        <w:rPr>
          <w:b/>
          <w:bCs/>
          <w:color w:val="1F3864"/>
          <w:sz w:val="25"/>
          <w:szCs w:val="25"/>
        </w:rPr>
        <w:t>1. Context</w:t>
      </w:r>
    </w:p>
    <w:p w14:paraId="7CCACDC4" w14:textId="77777777" w:rsidR="00FB2F76" w:rsidRDefault="00000000">
      <w:pPr>
        <w:spacing w:before="60" w:after="60" w:line="300" w:lineRule="auto"/>
      </w:pPr>
      <w:r>
        <w:t xml:space="preserve">AT&amp;T’s Sales Tooling ecosystem (Salesforce, ROME, ADOPT, SSP, Business Center) and the AI use cases we are introducing across the software development lifecycle and production support operate on sensitive customer, pricing, credit, and transaction data, and increasingly inform customer-facing sales and ordering decisions. That makes Responsible AI a precondition, not an afterthought. This document selects the three Responsible AI principles (from the NITI Aayog </w:t>
      </w:r>
      <w:r>
        <w:rPr>
          <w:i/>
          <w:iCs/>
        </w:rPr>
        <w:t>Responsible AI for All</w:t>
      </w:r>
      <w:r>
        <w:t xml:space="preserve"> framework) most relevant to AT&amp;T and sets out an approach to operationalise them using the four functions of the </w:t>
      </w:r>
      <w:r>
        <w:rPr>
          <w:b/>
          <w:bCs/>
        </w:rPr>
        <w:t>NIST AI Risk Management Framework — Govern, Map, Measure, Manage</w:t>
      </w:r>
      <w:r>
        <w:t>.</w:t>
      </w:r>
    </w:p>
    <w:p w14:paraId="0B44CFCB" w14:textId="77777777" w:rsidR="00FB2F76" w:rsidRDefault="00000000">
      <w:pPr>
        <w:pStyle w:val="Heading2"/>
        <w:spacing w:before="260" w:after="100"/>
      </w:pPr>
      <w:r>
        <w:rPr>
          <w:b/>
          <w:bCs/>
          <w:color w:val="1F3864"/>
          <w:sz w:val="25"/>
          <w:szCs w:val="25"/>
        </w:rPr>
        <w:t>2. Top Three Responsible AI Principles for AT&amp;T (and why)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FB2F76" w14:paraId="1A06AE51" w14:textId="77777777">
        <w:tblPrEx>
          <w:tblCellMar>
            <w:top w:w="0" w:type="dxa"/>
            <w:bottom w:w="0" w:type="dxa"/>
          </w:tblCellMar>
        </w:tblPrEx>
        <w:trPr>
          <w:tblHeader/>
        </w:trPr>
        <w:tc>
          <w:tcPr>
            <w:tcW w:w="3024" w:type="dxa"/>
            <w:tcBorders>
              <w:top w:val="single" w:sz="4" w:space="0" w:color="BBBBBB"/>
              <w:left w:val="single" w:sz="4" w:space="0" w:color="BBBBBB"/>
              <w:bottom w:val="single" w:sz="4" w:space="0" w:color="BBBBBB"/>
              <w:right w:val="single" w:sz="4" w:space="0" w:color="BBBBBB"/>
            </w:tcBorders>
            <w:shd w:val="clear" w:color="auto" w:fill="D9EAF7"/>
            <w:tcMar>
              <w:top w:w="80" w:type="dxa"/>
              <w:left w:w="120" w:type="dxa"/>
              <w:bottom w:w="80" w:type="dxa"/>
              <w:right w:w="120" w:type="dxa"/>
            </w:tcMar>
          </w:tcPr>
          <w:p w14:paraId="69E44E53" w14:textId="77777777" w:rsidR="00FB2F76" w:rsidRDefault="00000000">
            <w:r>
              <w:rPr>
                <w:b/>
                <w:bCs/>
                <w:sz w:val="21"/>
                <w:szCs w:val="21"/>
              </w:rPr>
              <w:t>Principle</w:t>
            </w:r>
          </w:p>
        </w:tc>
        <w:tc>
          <w:tcPr>
            <w:tcW w:w="7056" w:type="dxa"/>
            <w:tcBorders>
              <w:top w:val="single" w:sz="4" w:space="0" w:color="BBBBBB"/>
              <w:left w:val="single" w:sz="4" w:space="0" w:color="BBBBBB"/>
              <w:bottom w:val="single" w:sz="4" w:space="0" w:color="BBBBBB"/>
              <w:right w:val="single" w:sz="4" w:space="0" w:color="BBBBBB"/>
            </w:tcBorders>
            <w:shd w:val="clear" w:color="auto" w:fill="D9EAF7"/>
            <w:tcMar>
              <w:top w:w="80" w:type="dxa"/>
              <w:left w:w="120" w:type="dxa"/>
              <w:bottom w:w="80" w:type="dxa"/>
              <w:right w:w="120" w:type="dxa"/>
            </w:tcMar>
          </w:tcPr>
          <w:p w14:paraId="769DAD1A" w14:textId="77777777" w:rsidR="00FB2F76" w:rsidRDefault="00000000">
            <w:r>
              <w:rPr>
                <w:b/>
                <w:bCs/>
                <w:sz w:val="21"/>
                <w:szCs w:val="21"/>
              </w:rPr>
              <w:t>Why it is most relevant to AT&amp;T</w:t>
            </w:r>
          </w:p>
        </w:tc>
      </w:tr>
      <w:tr w:rsidR="00FB2F76" w14:paraId="275CC288"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D5A143F" w14:textId="77777777" w:rsidR="00FB2F76" w:rsidRDefault="00000000">
            <w:r>
              <w:rPr>
                <w:b/>
                <w:bCs/>
                <w:sz w:val="21"/>
                <w:szCs w:val="21"/>
              </w:rPr>
              <w:t>Privacy &amp; Security</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3C77EEA" w14:textId="77777777" w:rsidR="00FB2F76" w:rsidRDefault="00000000">
            <w:r>
              <w:rPr>
                <w:sz w:val="21"/>
                <w:szCs w:val="21"/>
              </w:rPr>
              <w:t>Our AI touches customer PII/CPNI, credit-check, billing, and transaction data. A privacy or security failure is both a regulatory and a trust risk at telecom scale.</w:t>
            </w:r>
          </w:p>
        </w:tc>
      </w:tr>
      <w:tr w:rsidR="00FB2F76" w14:paraId="7E5B27B0"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C9FA7FC" w14:textId="77777777" w:rsidR="00FB2F76" w:rsidRDefault="00000000">
            <w:r>
              <w:rPr>
                <w:b/>
                <w:bCs/>
                <w:sz w:val="21"/>
                <w:szCs w:val="21"/>
              </w:rPr>
              <w:t>Transparency &amp; Explainability</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3FC3A74" w14:textId="77777777" w:rsidR="00FB2F76" w:rsidRDefault="00000000">
            <w:r>
              <w:rPr>
                <w:sz w:val="21"/>
                <w:szCs w:val="21"/>
              </w:rPr>
              <w:t>AI-assisted outputs feed sales, pricing, credit, and production-support decisions. Engineers, sellers, auditors, and customers must be able to understand why an output was produced.</w:t>
            </w:r>
          </w:p>
        </w:tc>
      </w:tr>
      <w:tr w:rsidR="00FB2F76" w14:paraId="1771A1C3"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A0E89F2" w14:textId="77777777" w:rsidR="00FB2F76" w:rsidRDefault="00000000">
            <w:r>
              <w:rPr>
                <w:b/>
                <w:bCs/>
                <w:sz w:val="21"/>
                <w:szCs w:val="21"/>
              </w:rPr>
              <w:t>Accountability</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ACEB7E4" w14:textId="77777777" w:rsidR="00FB2F76" w:rsidRDefault="00000000">
            <w:r>
              <w:rPr>
                <w:sz w:val="21"/>
                <w:szCs w:val="21"/>
              </w:rPr>
              <w:t>Business-critical, customer-impacting decisions require clear human ownership, review, and the ability to trace and contest an AI-influenced outcome — especially given automation of parts of the SDLC and production support.</w:t>
            </w:r>
          </w:p>
        </w:tc>
      </w:tr>
    </w:tbl>
    <w:p w14:paraId="7D577A19" w14:textId="77777777" w:rsidR="00FB2F76" w:rsidRDefault="00FB2F76">
      <w:pPr>
        <w:spacing w:after="60"/>
      </w:pPr>
    </w:p>
    <w:p w14:paraId="1FF3FD22" w14:textId="77777777" w:rsidR="00FB2F76" w:rsidRDefault="00000000">
      <w:pPr>
        <w:spacing w:before="60" w:after="60" w:line="300" w:lineRule="auto"/>
      </w:pPr>
      <w:r>
        <w:t>(Safety &amp; reliability is a close fourth given our production-critical systems, and is addressed within the Manage function below.)</w:t>
      </w:r>
    </w:p>
    <w:p w14:paraId="6E42B221" w14:textId="77777777" w:rsidR="00FB2F76" w:rsidRDefault="00000000">
      <w:pPr>
        <w:pStyle w:val="Heading2"/>
        <w:spacing w:before="260" w:after="100"/>
      </w:pPr>
      <w:r>
        <w:rPr>
          <w:b/>
          <w:bCs/>
          <w:color w:val="1F3864"/>
          <w:sz w:val="25"/>
          <w:szCs w:val="25"/>
        </w:rPr>
        <w:t>3. Implementation Approach (NIST AI RMF: Govern · Map · Measure · Manage)</w:t>
      </w:r>
    </w:p>
    <w:p w14:paraId="0FB87F59" w14:textId="77777777" w:rsidR="00FB2F76" w:rsidRDefault="00000000">
      <w:pPr>
        <w:pStyle w:val="Heading3"/>
        <w:spacing w:before="180" w:after="60"/>
      </w:pPr>
      <w:r>
        <w:rPr>
          <w:b/>
          <w:bCs/>
          <w:color w:val="2E5496"/>
          <w:sz w:val="23"/>
          <w:szCs w:val="23"/>
        </w:rPr>
        <w:t>Principle 1 — Privacy &amp; Security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FB2F76" w14:paraId="4DF9C646" w14:textId="77777777">
        <w:tblPrEx>
          <w:tblCellMar>
            <w:top w:w="0" w:type="dxa"/>
            <w:bottom w:w="0" w:type="dxa"/>
          </w:tblCellMar>
        </w:tblPrEx>
        <w:trPr>
          <w:tblHeader/>
        </w:trPr>
        <w:tc>
          <w:tcPr>
            <w:tcW w:w="3024" w:type="dxa"/>
            <w:tcBorders>
              <w:top w:val="single" w:sz="4" w:space="0" w:color="BBBBBB"/>
              <w:left w:val="single" w:sz="4" w:space="0" w:color="BBBBBB"/>
              <w:bottom w:val="single" w:sz="4" w:space="0" w:color="BBBBBB"/>
              <w:right w:val="single" w:sz="4" w:space="0" w:color="BBBBBB"/>
            </w:tcBorders>
            <w:shd w:val="clear" w:color="auto" w:fill="D9EAF7"/>
            <w:tcMar>
              <w:top w:w="80" w:type="dxa"/>
              <w:left w:w="120" w:type="dxa"/>
              <w:bottom w:w="80" w:type="dxa"/>
              <w:right w:w="120" w:type="dxa"/>
            </w:tcMar>
          </w:tcPr>
          <w:p w14:paraId="33FA276A" w14:textId="77777777" w:rsidR="00FB2F76" w:rsidRDefault="00000000">
            <w:r>
              <w:rPr>
                <w:b/>
                <w:bCs/>
                <w:sz w:val="21"/>
                <w:szCs w:val="21"/>
              </w:rPr>
              <w:t>NIST function</w:t>
            </w:r>
          </w:p>
        </w:tc>
        <w:tc>
          <w:tcPr>
            <w:tcW w:w="7056" w:type="dxa"/>
            <w:tcBorders>
              <w:top w:val="single" w:sz="4" w:space="0" w:color="BBBBBB"/>
              <w:left w:val="single" w:sz="4" w:space="0" w:color="BBBBBB"/>
              <w:bottom w:val="single" w:sz="4" w:space="0" w:color="BBBBBB"/>
              <w:right w:val="single" w:sz="4" w:space="0" w:color="BBBBBB"/>
            </w:tcBorders>
            <w:shd w:val="clear" w:color="auto" w:fill="D9EAF7"/>
            <w:tcMar>
              <w:top w:w="80" w:type="dxa"/>
              <w:left w:w="120" w:type="dxa"/>
              <w:bottom w:w="80" w:type="dxa"/>
              <w:right w:w="120" w:type="dxa"/>
            </w:tcMar>
          </w:tcPr>
          <w:p w14:paraId="1EC6DC2F" w14:textId="77777777" w:rsidR="00FB2F76" w:rsidRDefault="00000000">
            <w:r>
              <w:rPr>
                <w:b/>
                <w:bCs/>
                <w:sz w:val="21"/>
                <w:szCs w:val="21"/>
              </w:rPr>
              <w:t>Approach at AT&amp;T</w:t>
            </w:r>
          </w:p>
        </w:tc>
      </w:tr>
      <w:tr w:rsidR="00FB2F76" w14:paraId="5BCEA361"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238450C" w14:textId="77777777" w:rsidR="00FB2F76" w:rsidRDefault="00000000">
            <w:r>
              <w:rPr>
                <w:sz w:val="21"/>
                <w:szCs w:val="21"/>
              </w:rPr>
              <w:t>Govern</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3BD9A20" w14:textId="77777777" w:rsidR="00FB2F76" w:rsidRDefault="00000000">
            <w:r>
              <w:rPr>
                <w:sz w:val="21"/>
                <w:szCs w:val="21"/>
              </w:rPr>
              <w:t>Data-protection and AI-use policy; role-based access and consent rules; an AI governance owner and AI SPOCs accountable for data handling.</w:t>
            </w:r>
          </w:p>
        </w:tc>
      </w:tr>
      <w:tr w:rsidR="00FB2F76" w14:paraId="3D76F599"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15EA458" w14:textId="77777777" w:rsidR="00FB2F76" w:rsidRDefault="00000000">
            <w:r>
              <w:rPr>
                <w:sz w:val="21"/>
                <w:szCs w:val="21"/>
              </w:rPr>
              <w:t>Map</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6D39138" w14:textId="77777777" w:rsidR="00FB2F76" w:rsidRDefault="00000000">
            <w:r>
              <w:rPr>
                <w:sz w:val="21"/>
                <w:szCs w:val="21"/>
              </w:rPr>
              <w:t>Inventory which use cases process PII/CPNI, credit, and billing data; classify data sensitivity and legal basis per use case.</w:t>
            </w:r>
          </w:p>
        </w:tc>
      </w:tr>
      <w:tr w:rsidR="00FB2F76" w14:paraId="476917B4"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B8C9C6" w14:textId="77777777" w:rsidR="00FB2F76" w:rsidRDefault="00000000">
            <w:r>
              <w:rPr>
                <w:sz w:val="21"/>
                <w:szCs w:val="21"/>
              </w:rPr>
              <w:t>Measure</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7216695" w14:textId="77777777" w:rsidR="00FB2F76" w:rsidRDefault="00000000">
            <w:r>
              <w:rPr>
                <w:sz w:val="21"/>
                <w:szCs w:val="21"/>
              </w:rPr>
              <w:t>Data-minimisation and de-identification checks; access-audit logs; security testing of AI pipelines; privacy-impact assessments.</w:t>
            </w:r>
          </w:p>
        </w:tc>
      </w:tr>
      <w:tr w:rsidR="00FB2F76" w14:paraId="4335854E"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5BF295C" w14:textId="77777777" w:rsidR="00FB2F76" w:rsidRDefault="00000000">
            <w:r>
              <w:rPr>
                <w:sz w:val="21"/>
                <w:szCs w:val="21"/>
              </w:rPr>
              <w:t>Manage</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1A28783" w14:textId="77777777" w:rsidR="00FB2F76" w:rsidRDefault="00000000">
            <w:r>
              <w:rPr>
                <w:sz w:val="21"/>
                <w:szCs w:val="21"/>
              </w:rPr>
              <w:t>Enforce least-privilege access, encryption, and secure APIs; monitor for data leakage; incident-response runbook for AI data events.</w:t>
            </w:r>
          </w:p>
        </w:tc>
      </w:tr>
    </w:tbl>
    <w:p w14:paraId="7747DD92" w14:textId="77777777" w:rsidR="00FB2F76" w:rsidRDefault="00FB2F76">
      <w:pPr>
        <w:spacing w:after="60"/>
      </w:pPr>
    </w:p>
    <w:p w14:paraId="1B0C1AE2" w14:textId="77777777" w:rsidR="00FB2F76" w:rsidRDefault="00000000">
      <w:pPr>
        <w:pStyle w:val="Heading3"/>
        <w:spacing w:before="180" w:after="60"/>
      </w:pPr>
      <w:r>
        <w:rPr>
          <w:b/>
          <w:bCs/>
          <w:color w:val="2E5496"/>
          <w:sz w:val="23"/>
          <w:szCs w:val="23"/>
        </w:rPr>
        <w:lastRenderedPageBreak/>
        <w:t>Principle 2 — Transparency &amp; Explainability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FB2F76" w14:paraId="4FF51906" w14:textId="77777777">
        <w:tblPrEx>
          <w:tblCellMar>
            <w:top w:w="0" w:type="dxa"/>
            <w:bottom w:w="0" w:type="dxa"/>
          </w:tblCellMar>
        </w:tblPrEx>
        <w:trPr>
          <w:tblHeader/>
        </w:trPr>
        <w:tc>
          <w:tcPr>
            <w:tcW w:w="3024" w:type="dxa"/>
            <w:tcBorders>
              <w:top w:val="single" w:sz="4" w:space="0" w:color="BBBBBB"/>
              <w:left w:val="single" w:sz="4" w:space="0" w:color="BBBBBB"/>
              <w:bottom w:val="single" w:sz="4" w:space="0" w:color="BBBBBB"/>
              <w:right w:val="single" w:sz="4" w:space="0" w:color="BBBBBB"/>
            </w:tcBorders>
            <w:shd w:val="clear" w:color="auto" w:fill="D9EAF7"/>
            <w:tcMar>
              <w:top w:w="80" w:type="dxa"/>
              <w:left w:w="120" w:type="dxa"/>
              <w:bottom w:w="80" w:type="dxa"/>
              <w:right w:w="120" w:type="dxa"/>
            </w:tcMar>
          </w:tcPr>
          <w:p w14:paraId="3A7018DC" w14:textId="77777777" w:rsidR="00FB2F76" w:rsidRDefault="00000000">
            <w:r>
              <w:rPr>
                <w:b/>
                <w:bCs/>
                <w:sz w:val="21"/>
                <w:szCs w:val="21"/>
              </w:rPr>
              <w:t>NIST function</w:t>
            </w:r>
          </w:p>
        </w:tc>
        <w:tc>
          <w:tcPr>
            <w:tcW w:w="7056" w:type="dxa"/>
            <w:tcBorders>
              <w:top w:val="single" w:sz="4" w:space="0" w:color="BBBBBB"/>
              <w:left w:val="single" w:sz="4" w:space="0" w:color="BBBBBB"/>
              <w:bottom w:val="single" w:sz="4" w:space="0" w:color="BBBBBB"/>
              <w:right w:val="single" w:sz="4" w:space="0" w:color="BBBBBB"/>
            </w:tcBorders>
            <w:shd w:val="clear" w:color="auto" w:fill="D9EAF7"/>
            <w:tcMar>
              <w:top w:w="80" w:type="dxa"/>
              <w:left w:w="120" w:type="dxa"/>
              <w:bottom w:w="80" w:type="dxa"/>
              <w:right w:w="120" w:type="dxa"/>
            </w:tcMar>
          </w:tcPr>
          <w:p w14:paraId="797671B5" w14:textId="77777777" w:rsidR="00FB2F76" w:rsidRDefault="00000000">
            <w:r>
              <w:rPr>
                <w:b/>
                <w:bCs/>
                <w:sz w:val="21"/>
                <w:szCs w:val="21"/>
              </w:rPr>
              <w:t>Approach at AT&amp;T</w:t>
            </w:r>
          </w:p>
        </w:tc>
      </w:tr>
      <w:tr w:rsidR="00FB2F76" w14:paraId="7C009856"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8CDE728" w14:textId="77777777" w:rsidR="00FB2F76" w:rsidRDefault="00000000">
            <w:r>
              <w:rPr>
                <w:sz w:val="21"/>
                <w:szCs w:val="21"/>
              </w:rPr>
              <w:t>Govern</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E299331" w14:textId="77777777" w:rsidR="00FB2F76" w:rsidRDefault="00000000">
            <w:r>
              <w:rPr>
                <w:sz w:val="21"/>
                <w:szCs w:val="21"/>
              </w:rPr>
              <w:t>Standard requiring documented model purpose, data lineage, and an explainability expectation for any customer- or revenue-impacting AI.</w:t>
            </w:r>
          </w:p>
        </w:tc>
      </w:tr>
      <w:tr w:rsidR="00FB2F76" w14:paraId="2B70D5BC"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DE11DC5" w14:textId="77777777" w:rsidR="00FB2F76" w:rsidRDefault="00000000">
            <w:r>
              <w:rPr>
                <w:sz w:val="21"/>
                <w:szCs w:val="21"/>
              </w:rPr>
              <w:t>Map</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03FD23B" w14:textId="77777777" w:rsidR="00FB2F76" w:rsidRDefault="00000000">
            <w:r>
              <w:rPr>
                <w:sz w:val="21"/>
                <w:szCs w:val="21"/>
              </w:rPr>
              <w:t>Identify decisions where a human, regulator, or customer may need to understand the “why” (e.g., pricing, credit, order routing).</w:t>
            </w:r>
          </w:p>
        </w:tc>
      </w:tr>
      <w:tr w:rsidR="00FB2F76" w14:paraId="6431C58D"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2C45EE6" w14:textId="77777777" w:rsidR="00FB2F76" w:rsidRDefault="00000000">
            <w:r>
              <w:rPr>
                <w:sz w:val="21"/>
                <w:szCs w:val="21"/>
              </w:rPr>
              <w:t>Measure</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7957FF" w14:textId="77777777" w:rsidR="00FB2F76" w:rsidRDefault="00000000">
            <w:r>
              <w:rPr>
                <w:sz w:val="21"/>
                <w:szCs w:val="21"/>
              </w:rPr>
              <w:t>Model cards / documentation; explainability techniques for high-impact models; track the explainability-vs-accuracy trade-off explicitly.</w:t>
            </w:r>
          </w:p>
        </w:tc>
      </w:tr>
      <w:tr w:rsidR="00FB2F76" w14:paraId="2267EB8C"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4748BFC" w14:textId="77777777" w:rsidR="00FB2F76" w:rsidRDefault="00000000">
            <w:r>
              <w:rPr>
                <w:sz w:val="21"/>
                <w:szCs w:val="21"/>
              </w:rPr>
              <w:t>Manage</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62B339D" w14:textId="77777777" w:rsidR="00FB2F76" w:rsidRDefault="00000000">
            <w:r>
              <w:rPr>
                <w:sz w:val="21"/>
                <w:szCs w:val="21"/>
              </w:rPr>
              <w:t>Provide reason codes and audit trails; disclose AI-assistance where appropriate; retire models that cannot be adequately explained for high-stakes use.</w:t>
            </w:r>
          </w:p>
        </w:tc>
      </w:tr>
    </w:tbl>
    <w:p w14:paraId="07C427B7" w14:textId="77777777" w:rsidR="00FB2F76" w:rsidRDefault="00FB2F76">
      <w:pPr>
        <w:spacing w:after="60"/>
      </w:pPr>
    </w:p>
    <w:p w14:paraId="0B344065" w14:textId="77777777" w:rsidR="00FB2F76" w:rsidRDefault="00000000">
      <w:pPr>
        <w:pStyle w:val="Heading3"/>
        <w:spacing w:before="180" w:after="60"/>
      </w:pPr>
      <w:r>
        <w:rPr>
          <w:b/>
          <w:bCs/>
          <w:color w:val="2E5496"/>
          <w:sz w:val="23"/>
          <w:szCs w:val="23"/>
        </w:rPr>
        <w:t>Principle 3 — Accountability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FB2F76" w14:paraId="5BA8EDCB" w14:textId="77777777">
        <w:tblPrEx>
          <w:tblCellMar>
            <w:top w:w="0" w:type="dxa"/>
            <w:bottom w:w="0" w:type="dxa"/>
          </w:tblCellMar>
        </w:tblPrEx>
        <w:trPr>
          <w:tblHeader/>
        </w:trPr>
        <w:tc>
          <w:tcPr>
            <w:tcW w:w="3024" w:type="dxa"/>
            <w:tcBorders>
              <w:top w:val="single" w:sz="4" w:space="0" w:color="BBBBBB"/>
              <w:left w:val="single" w:sz="4" w:space="0" w:color="BBBBBB"/>
              <w:bottom w:val="single" w:sz="4" w:space="0" w:color="BBBBBB"/>
              <w:right w:val="single" w:sz="4" w:space="0" w:color="BBBBBB"/>
            </w:tcBorders>
            <w:shd w:val="clear" w:color="auto" w:fill="D9EAF7"/>
            <w:tcMar>
              <w:top w:w="80" w:type="dxa"/>
              <w:left w:w="120" w:type="dxa"/>
              <w:bottom w:w="80" w:type="dxa"/>
              <w:right w:w="120" w:type="dxa"/>
            </w:tcMar>
          </w:tcPr>
          <w:p w14:paraId="6E971CE8" w14:textId="77777777" w:rsidR="00FB2F76" w:rsidRDefault="00000000">
            <w:r>
              <w:rPr>
                <w:b/>
                <w:bCs/>
                <w:sz w:val="21"/>
                <w:szCs w:val="21"/>
              </w:rPr>
              <w:t>NIST function</w:t>
            </w:r>
          </w:p>
        </w:tc>
        <w:tc>
          <w:tcPr>
            <w:tcW w:w="7056" w:type="dxa"/>
            <w:tcBorders>
              <w:top w:val="single" w:sz="4" w:space="0" w:color="BBBBBB"/>
              <w:left w:val="single" w:sz="4" w:space="0" w:color="BBBBBB"/>
              <w:bottom w:val="single" w:sz="4" w:space="0" w:color="BBBBBB"/>
              <w:right w:val="single" w:sz="4" w:space="0" w:color="BBBBBB"/>
            </w:tcBorders>
            <w:shd w:val="clear" w:color="auto" w:fill="D9EAF7"/>
            <w:tcMar>
              <w:top w:w="80" w:type="dxa"/>
              <w:left w:w="120" w:type="dxa"/>
              <w:bottom w:w="80" w:type="dxa"/>
              <w:right w:w="120" w:type="dxa"/>
            </w:tcMar>
          </w:tcPr>
          <w:p w14:paraId="363CF5A8" w14:textId="77777777" w:rsidR="00FB2F76" w:rsidRDefault="00000000">
            <w:r>
              <w:rPr>
                <w:b/>
                <w:bCs/>
                <w:sz w:val="21"/>
                <w:szCs w:val="21"/>
              </w:rPr>
              <w:t>Approach at AT&amp;T</w:t>
            </w:r>
          </w:p>
        </w:tc>
      </w:tr>
      <w:tr w:rsidR="00FB2F76" w14:paraId="23B09478"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B774B0" w14:textId="77777777" w:rsidR="00FB2F76" w:rsidRDefault="00000000">
            <w:r>
              <w:rPr>
                <w:sz w:val="21"/>
                <w:szCs w:val="21"/>
              </w:rPr>
              <w:t>Govern</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B046C03" w14:textId="77777777" w:rsidR="00FB2F76" w:rsidRDefault="00000000">
            <w:r>
              <w:rPr>
                <w:sz w:val="21"/>
                <w:szCs w:val="21"/>
              </w:rPr>
              <w:t>Named accountable owner per AI system; a model-risk review and approval gate before deployment; escalation and sign-off authority defined.</w:t>
            </w:r>
          </w:p>
        </w:tc>
      </w:tr>
      <w:tr w:rsidR="00FB2F76" w14:paraId="61F2815D"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83C904B" w14:textId="77777777" w:rsidR="00FB2F76" w:rsidRDefault="00000000">
            <w:r>
              <w:rPr>
                <w:sz w:val="21"/>
                <w:szCs w:val="21"/>
              </w:rPr>
              <w:t>Map</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67858C6" w14:textId="77777777" w:rsidR="00FB2F76" w:rsidRDefault="00000000">
            <w:r>
              <w:rPr>
                <w:sz w:val="21"/>
                <w:szCs w:val="21"/>
              </w:rPr>
              <w:t>Map each AI output to the decision it influences and to the human who remains accountable for that decision.</w:t>
            </w:r>
          </w:p>
        </w:tc>
      </w:tr>
      <w:tr w:rsidR="00FB2F76" w14:paraId="35D9A22E"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F59BA08" w14:textId="77777777" w:rsidR="00FB2F76" w:rsidRDefault="00000000">
            <w:r>
              <w:rPr>
                <w:sz w:val="21"/>
                <w:szCs w:val="21"/>
              </w:rPr>
              <w:t>Measure</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042984E" w14:textId="77777777" w:rsidR="00FB2F76" w:rsidRDefault="00000000">
            <w:r>
              <w:rPr>
                <w:sz w:val="21"/>
                <w:szCs w:val="21"/>
              </w:rPr>
              <w:t>Track override rates, false-positive/negative rates, and review-coverage for customer-impacting outputs; periodic bias and performance audits.</w:t>
            </w:r>
          </w:p>
        </w:tc>
      </w:tr>
      <w:tr w:rsidR="00FB2F76" w14:paraId="29EE680D"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92FA13D" w14:textId="77777777" w:rsidR="00FB2F76" w:rsidRDefault="00000000">
            <w:r>
              <w:rPr>
                <w:sz w:val="21"/>
                <w:szCs w:val="21"/>
              </w:rPr>
              <w:t>Manage</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499BE5" w14:textId="77777777" w:rsidR="00FB2F76" w:rsidRDefault="00000000">
            <w:r>
              <w:rPr>
                <w:sz w:val="21"/>
                <w:szCs w:val="21"/>
              </w:rPr>
              <w:t>Mandatory human-in-the-loop for high-impact decisions; change control on production-affecting models; a customer-redress and appeal path.</w:t>
            </w:r>
          </w:p>
        </w:tc>
      </w:tr>
    </w:tbl>
    <w:p w14:paraId="3A1A759E" w14:textId="77777777" w:rsidR="00FB2F76" w:rsidRDefault="00FB2F76">
      <w:pPr>
        <w:spacing w:after="60"/>
      </w:pPr>
    </w:p>
    <w:p w14:paraId="241EFF66" w14:textId="77777777" w:rsidR="00FB2F76" w:rsidRDefault="00000000">
      <w:pPr>
        <w:pStyle w:val="Heading2"/>
        <w:spacing w:before="260" w:after="100"/>
      </w:pPr>
      <w:r>
        <w:rPr>
          <w:b/>
          <w:bCs/>
          <w:color w:val="1F3864"/>
          <w:sz w:val="25"/>
          <w:szCs w:val="25"/>
        </w:rPr>
        <w:t>4. Governance Summary</w:t>
      </w:r>
    </w:p>
    <w:p w14:paraId="5438AD17" w14:textId="77777777" w:rsidR="00FB2F76" w:rsidRDefault="00000000">
      <w:pPr>
        <w:spacing w:before="60" w:after="60" w:line="300" w:lineRule="auto"/>
      </w:pPr>
      <w:r>
        <w:t>These three principles are operationalised through one governance spine: a Responsible-AI policy (Govern), a per-use-case risk register that maps data, decisions, and owners (Map), a standard measurement set of privacy, explainability, bias, and reliability checks (Measure), and enforced controls with human-in-the-loop review and incident response (Manage). This makes Responsible AI a repeatable engineering discipline across the Sales Tooling AI roadmap rather than a case-by-case judgement.</w:t>
      </w:r>
    </w:p>
    <w:p w14:paraId="6A5214DD" w14:textId="0B34636E" w:rsidR="00FB2F76" w:rsidRDefault="00561BA3">
      <w:pPr>
        <w:spacing w:before="60" w:after="60" w:line="300" w:lineRule="auto"/>
      </w:pPr>
      <w:r>
        <w:rPr>
          <w:color w:val="8A5A00"/>
        </w:rPr>
        <w:br/>
      </w:r>
      <w:r w:rsidR="00000000">
        <w:rPr>
          <w:b/>
          <w:bCs/>
        </w:rPr>
        <w:t>References:</w:t>
      </w:r>
      <w:r w:rsidR="00000000">
        <w:t xml:space="preserve"> NITI Aayog, </w:t>
      </w:r>
      <w:r w:rsidR="00000000">
        <w:rPr>
          <w:i/>
          <w:iCs/>
        </w:rPr>
        <w:t>Responsible AI #AIForAll: Approach Document for India</w:t>
      </w:r>
      <w:r w:rsidR="00000000">
        <w:t xml:space="preserve"> (2021); NIST, </w:t>
      </w:r>
      <w:r w:rsidR="00000000">
        <w:rPr>
          <w:i/>
          <w:iCs/>
        </w:rPr>
        <w:t>AI Risk Management Framework (AI RMF 1.0) and Playbook</w:t>
      </w:r>
      <w:r w:rsidR="00000000">
        <w:t>.</w:t>
      </w:r>
    </w:p>
    <w:sectPr w:rsidR="00FB2F7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4E4D30"/>
    <w:multiLevelType w:val="hybridMultilevel"/>
    <w:tmpl w:val="9BE064B6"/>
    <w:lvl w:ilvl="0" w:tplc="F0185752">
      <w:start w:val="1"/>
      <w:numFmt w:val="bullet"/>
      <w:lvlText w:val="●"/>
      <w:lvlJc w:val="left"/>
      <w:pPr>
        <w:ind w:left="720" w:hanging="360"/>
      </w:pPr>
    </w:lvl>
    <w:lvl w:ilvl="1" w:tplc="6C4AC8D6">
      <w:start w:val="1"/>
      <w:numFmt w:val="bullet"/>
      <w:lvlText w:val="○"/>
      <w:lvlJc w:val="left"/>
      <w:pPr>
        <w:ind w:left="1440" w:hanging="360"/>
      </w:pPr>
    </w:lvl>
    <w:lvl w:ilvl="2" w:tplc="3EF491AA">
      <w:start w:val="1"/>
      <w:numFmt w:val="bullet"/>
      <w:lvlText w:val="■"/>
      <w:lvlJc w:val="left"/>
      <w:pPr>
        <w:ind w:left="2160" w:hanging="360"/>
      </w:pPr>
    </w:lvl>
    <w:lvl w:ilvl="3" w:tplc="C7045D3A">
      <w:start w:val="1"/>
      <w:numFmt w:val="bullet"/>
      <w:lvlText w:val="●"/>
      <w:lvlJc w:val="left"/>
      <w:pPr>
        <w:ind w:left="2880" w:hanging="360"/>
      </w:pPr>
    </w:lvl>
    <w:lvl w:ilvl="4" w:tplc="ECAAF0CC">
      <w:start w:val="1"/>
      <w:numFmt w:val="bullet"/>
      <w:lvlText w:val="○"/>
      <w:lvlJc w:val="left"/>
      <w:pPr>
        <w:ind w:left="3600" w:hanging="360"/>
      </w:pPr>
    </w:lvl>
    <w:lvl w:ilvl="5" w:tplc="6A8E6980">
      <w:start w:val="1"/>
      <w:numFmt w:val="bullet"/>
      <w:lvlText w:val="■"/>
      <w:lvlJc w:val="left"/>
      <w:pPr>
        <w:ind w:left="4320" w:hanging="360"/>
      </w:pPr>
    </w:lvl>
    <w:lvl w:ilvl="6" w:tplc="B4F8249A">
      <w:start w:val="1"/>
      <w:numFmt w:val="bullet"/>
      <w:lvlText w:val="●"/>
      <w:lvlJc w:val="left"/>
      <w:pPr>
        <w:ind w:left="5040" w:hanging="360"/>
      </w:pPr>
    </w:lvl>
    <w:lvl w:ilvl="7" w:tplc="89B448C4">
      <w:start w:val="1"/>
      <w:numFmt w:val="bullet"/>
      <w:lvlText w:val="●"/>
      <w:lvlJc w:val="left"/>
      <w:pPr>
        <w:ind w:left="5760" w:hanging="360"/>
      </w:pPr>
    </w:lvl>
    <w:lvl w:ilvl="8" w:tplc="F552D0C4">
      <w:start w:val="1"/>
      <w:numFmt w:val="bullet"/>
      <w:lvlText w:val="●"/>
      <w:lvlJc w:val="left"/>
      <w:pPr>
        <w:ind w:left="6480" w:hanging="360"/>
      </w:pPr>
    </w:lvl>
  </w:abstractNum>
  <w:num w:numId="1" w16cid:durableId="9717122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F76"/>
    <w:rsid w:val="00561BA3"/>
    <w:rsid w:val="008E4DA1"/>
    <w:rsid w:val="00F1421C"/>
    <w:rsid w:val="00FB2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CF87C"/>
  <w15:docId w15:val="{67748403-FC1A-4AAD-ADED-751D9B84F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11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643</Words>
  <Characters>3670</Characters>
  <Application>Microsoft Office Word</Application>
  <DocSecurity>0</DocSecurity>
  <Lines>30</Lines>
  <Paragraphs>8</Paragraphs>
  <ScaleCrop>false</ScaleCrop>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 SHEKAR BOLLAM</cp:lastModifiedBy>
  <cp:revision>3</cp:revision>
  <dcterms:created xsi:type="dcterms:W3CDTF">2026-07-29T17:49:00Z</dcterms:created>
  <dcterms:modified xsi:type="dcterms:W3CDTF">2026-07-29T18:30:00Z</dcterms:modified>
</cp:coreProperties>
</file>