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A44"/>
          <w:sz w:val="38"/>
          <w:szCs w:val="38"/>
        </w:rPr>
        <w:t xml:space="preserve">Continuous Certification &amp; Agent Feedback Loop</w:t>
      </w:r>
    </w:p>
    <w:p>
      <w:pPr>
        <w:spacing w:after="60"/>
      </w:pPr>
      <w:r>
        <w:rPr>
          <w:color w:val="1F2A44"/>
          <w:sz w:val="28"/>
          <w:szCs w:val="28"/>
        </w:rPr>
        <w:t xml:space="preserve">Business Requirements Document</w:t>
      </w:r>
    </w:p>
    <w:p>
      <w:pPr>
        <w:spacing w:after="120"/>
      </w:pPr>
      <w:r>
        <w:rPr>
          <w:b w:val="false"/>
          <w:bCs w:val="false"/>
          <w:i w:val="false"/>
          <w:iCs w:val="false"/>
          <w:sz w:val="20"/>
          <w:szCs w:val="20"/>
        </w:rPr>
        <w:t xml:space="preserve">Version 1.0 | 10 July 2026</w:t>
      </w:r>
    </w:p>
    <w:p>
      <w:pPr>
        <w:spacing w:after="120"/>
      </w:pPr>
      <w:r>
        <w:rPr>
          <w:b w:val="false"/>
          <w:bCs w:val="false"/>
          <w:i w:val="false"/>
          <w:iCs w:val="false"/>
          <w:sz w:val="20"/>
          <w:szCs w:val="20"/>
        </w:rPr>
        <w:t xml:space="preserve">Prepared for: AaraMinds executive leadership / Raja Shekar Bollam</w:t>
      </w:r>
    </w:p>
    <w:p>
      <w:pPr>
        <w:spacing w:after="200"/>
      </w:pPr>
      <w:r>
        <w:rPr>
          <w:b w:val="false"/>
          <w:bCs w:val="false"/>
          <w:i w:val="false"/>
          <w:iCs w:val="false"/>
          <w:sz w:val="20"/>
          <w:szCs w:val="20"/>
        </w:rPr>
        <w:t xml:space="preserve">Document status: Draft for review — initiative brief under AaraMinds Agent Platform BRD v2.1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4"/>
              <w:left w:val="single" w:color="FFFFFF" w:sz="4"/>
              <w:bottom w:val="single" w:color="FFFFFF" w:sz="4"/>
              <w:right w:val="single" w:color="FFFFFF" w:sz="4"/>
            </w:tcBorders>
            <w:shd w:fill="EAF4F4" w:val="clear"/>
            <w:tcMar>
              <w:top w:type="dxa" w:w="160"/>
              <w:left w:type="dxa" w:w="200"/>
              <w:bottom w:type="dxa" w:w="160"/>
              <w:right w:type="dxa" w:w="200"/>
            </w:tcMar>
          </w:tcPr>
          <w:p>
            <w:pPr>
              <w:spacing w:after="60"/>
            </w:pPr>
            <w:r>
              <w:rPr>
                <w:b/>
                <w:bCs/>
                <w:color w:val="1F2A44"/>
                <w:sz w:val="24"/>
                <w:szCs w:val="24"/>
              </w:rPr>
              <w:t xml:space="preserve">Purpose</w:t>
            </w:r>
          </w:p>
          <w:p>
            <w:r>
              <w:rPr>
                <w:color w:val="1F2A44"/>
                <w:sz w:val="22"/>
                <w:szCs w:val="22"/>
              </w:rPr>
              <w:t xml:space="preserve">Define the business need, value, scope, privacy governance, requirements, risks, and roadmap for a privacy-first feedback loop that turns real production usage of AaraMinds agents into intelligence — mined evaluation cases, evidence-based rubric calibration, and version comparison — so agents are not merely certified once at design time but kept continuously certified with production evidence. This document seeks executive approval to fund Phase 0.</w:t>
            </w:r>
          </w:p>
        </w:tc>
      </w:tr>
    </w:tbl>
    <w:p>
      <w:pPr>
        <w:spacing w:after="100"/>
      </w:pPr>
      <w:r>
        <w:rPr>
          <w:b w:val="false"/>
          <w:bCs w:val="false"/>
          <w:i w:val="false"/>
          <w:iCs w:val="false"/>
          <w:sz w:val="20"/>
          <w:szCs w:val="20"/>
        </w:rPr>
        <w:t xml:space="preserve"/>
      </w:r>
    </w:p>
    <w:p>
      <w:pPr>
        <w:pStyle w:val="Heading1"/>
        <w:spacing w:after="140" w:before="280"/>
      </w:pPr>
      <w:r>
        <w:rPr>
          <w:b/>
          <w:bCs/>
          <w:color w:val="1F2A44"/>
          <w:sz w:val="26"/>
          <w:szCs w:val="26"/>
        </w:rPr>
        <w:t xml:space="preserve">1. Executive Summary</w:t>
      </w:r>
    </w:p>
    <w:p>
      <w:pPr>
        <w:spacing w:after="120"/>
      </w:pPr>
      <w:r>
        <w:rPr>
          <w:b w:val="false"/>
          <w:bCs w:val="false"/>
          <w:i w:val="false"/>
          <w:iCs w:val="false"/>
          <w:sz w:val="20"/>
          <w:szCs w:val="20"/>
        </w:rPr>
        <w:t xml:space="preserve">AaraMinds already certifies AI agents at design time: every agent passes a machine-verifiable readiness score before it can go active, and three agents are certified today (Business Analyst, PostgreSQL Expert, SQL Server Expert; certified average 91.8 on the Data &amp; Engineering pack). The gap this initiative closes is simple and expensive: a design-time certificate decays. Once an agent is in real use, we have no governed way to learn from what actually happens — which drafts developers accept, which they correct, where the agent is wrong — and feed that back into better agents.</w:t>
      </w:r>
    </w:p>
    <w:p>
      <w:pPr>
        <w:spacing w:after="120"/>
      </w:pPr>
      <w:r>
        <w:rPr>
          <w:b w:val="false"/>
          <w:bCs w:val="false"/>
          <w:i w:val="false"/>
          <w:iCs w:val="false"/>
          <w:sz w:val="20"/>
          <w:szCs w:val="20"/>
        </w:rPr>
        <w:t xml:space="preserve">The recommended initiative is a Continuous Certification &amp; Agent Feedback Loop: a privacy-first pipeline that captures structured, consented feedback from real agent usage (accepted / rejected / edited outputs and standards-based telemetry), and converts it into intelligence — automatically mined evaluation cases, evidence-based recalibration of the readiness rubric, and A/B comparison of agent versions on real outcomes. This operationalizes the SkillOps loop already named in the platform PRD (telemetry → failure review → skill revision → benchmark → versioned release), now fed by production data instead of hand-picked cases.</w:t>
      </w:r>
    </w:p>
    <w:p>
      <w:pPr>
        <w:spacing w:after="120"/>
      </w:pPr>
      <w:r>
        <w:rPr>
          <w:b w:val="false"/>
          <w:bCs w:val="false"/>
          <w:i w:val="false"/>
          <w:iCs w:val="false"/>
          <w:sz w:val="20"/>
          <w:szCs w:val="20"/>
        </w:rPr>
        <w:t xml:space="preserve">The industry calls this an agent data flywheel, and in 2026 it is the standard path to durable agent quality. AaraMinds' differentiation is not the flywheel itself — it is doing it under governance: the loop is built to the same evidence and privacy bar as the agents it improves. The result is a capability no agent registry or observability tool offers: continuous, evidence-based certification.</w:t>
      </w:r>
    </w:p>
    <w:p>
      <w:pPr>
        <w:spacing w:after="120"/>
      </w:pPr>
      <w:r>
        <w:rPr>
          <w:b/>
          <w:bCs/>
          <w:i w:val="false"/>
          <w:iCs w:val="false"/>
          <w:sz w:val="20"/>
          <w:szCs w:val="20"/>
        </w:rPr>
        <w:t xml:space="preserve">Business recommendation: proceed with a narrow, privacy-first Phase 0. Do not build a traffic-intercepting proxy, do not centralize raw source code, and do not build an observability backend from scratch. Build the governed loop on open standards (OpenTelemetry GenAI) with hash-and-reference payloads; adopt a best-of-breed evaluation backend for storage and trace plumbing; and gate the program on a data-privacy and build-versus-buy decision before Phase 1.</w:t>
      </w:r>
    </w:p>
    <w:p>
      <w:pPr>
        <w:pStyle w:val="Heading1"/>
        <w:spacing w:after="140" w:before="280"/>
      </w:pPr>
      <w:r>
        <w:rPr>
          <w:b/>
          <w:bCs/>
          <w:color w:val="1F2A44"/>
          <w:sz w:val="26"/>
          <w:szCs w:val="26"/>
        </w:rPr>
        <w:t xml:space="preserve">2. Business Context and Opportunity</w:t>
      </w:r>
    </w:p>
    <w:p>
      <w:pPr>
        <w:spacing w:after="120"/>
      </w:pPr>
      <w:r>
        <w:rPr>
          <w:b w:val="false"/>
          <w:bCs w:val="false"/>
          <w:i w:val="false"/>
          <w:iCs w:val="false"/>
          <w:sz w:val="20"/>
          <w:szCs w:val="20"/>
        </w:rPr>
        <w:t xml:space="preserve">Enterprises adopting AI agents in 2026 have learned that shipping an agent is the easy part; keeping it good is the hard part. The mature answer is a feedback flywheel: production traces become analytics and evaluation cases that drive continuous improvement. Vendors across the stack (observability and evaluation platforms, and the major clouds) have built exactly this loop, and the tooling standard has stabilized — the OpenTelemetry GenAI semantic conventions exited experimental for client spans in early 2026, giving a common vocabulary for agent telemetry that any backend can ingest.</w:t>
      </w:r>
    </w:p>
    <w:p>
      <w:pPr>
        <w:spacing w:after="120"/>
      </w:pPr>
      <w:r>
        <w:rPr>
          <w:b w:val="false"/>
          <w:bCs w:val="false"/>
          <w:i w:val="false"/>
          <w:iCs w:val="false"/>
          <w:sz w:val="20"/>
          <w:szCs w:val="20"/>
        </w:rPr>
        <w:t xml:space="preserve">AaraMinds is unusually well positioned to exploit this. The platform already emits OpenTelemetry GenAI spans, already defines an evaluation-run schema and a versioned readiness rubric, already supports a hash-and-reference telemetry payload mode (content hashes, not raw payloads), and already names SkillOps as a core proof. The feedback loop is therefore not a new invention but the activation of assets that already exist — connected to real usage.</w:t>
      </w:r>
    </w:p>
    <w:p>
      <w:pPr>
        <w:spacing w:after="120"/>
      </w:pPr>
      <w:r>
        <w:rPr>
          <w:b w:val="false"/>
          <w:bCs w:val="false"/>
          <w:i w:val="false"/>
          <w:iCs w:val="false"/>
          <w:sz w:val="20"/>
          <w:szCs w:val="20"/>
        </w:rPr>
        <w:t xml:space="preserve">The opportunity is strategic, not only operational. Agent registries and control planes from the major clouds catalog agents and enforce approval workflows; observability vendors record traces and score runs. None of them close the loop back to a governed certification. A feedback loop that continuously re-certifies agents with production evidence extends AaraMinds' most defensible position — machine-verifiable readiness — from a one-time gate into an ongoing guarantee.</w:t>
      </w:r>
    </w:p>
    <w:p>
      <w:pPr>
        <w:pStyle w:val="Heading1"/>
        <w:spacing w:after="140" w:before="280"/>
      </w:pPr>
      <w:r>
        <w:rPr>
          <w:b/>
          <w:bCs/>
          <w:color w:val="1F2A44"/>
          <w:sz w:val="26"/>
          <w:szCs w:val="26"/>
        </w:rPr>
        <w:t xml:space="preserve">3. External Trend Summary (mid-2026)</w:t>
      </w:r>
    </w:p>
    <w:p>
      <w:pPr>
        <w:spacing w:after="120"/>
      </w:pPr>
      <w:r>
        <w:rPr>
          <w:b w:val="false"/>
          <w:bCs w:val="false"/>
          <w:i w:val="false"/>
          <w:iCs w:val="false"/>
          <w:sz w:val="20"/>
          <w:szCs w:val="20"/>
        </w:rPr>
        <w:t xml:space="preserve">The following trends shape this BRD. Sources are listed in Section 27; volatile claims are dated and marked for re-verification at implementation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Trend</w:t>
            </w:r>
          </w:p>
        </w:tc>
        <w:tc>
          <w:tcPr>
            <w:tcW w:type="dxa" w:w="67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Business implication for AaraMinds</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The agent data flywheel is the standard</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Production traces are turned into evaluation and regression datasets that drive continuous improvement; bootstrapping eval cases from real usage outperforms synthetic tests. This is the model to adopt. [S1]</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OpenTelemetry GenAI conventions stabilized</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GenAI client spans exited experimental in early 2026; a standard telemetry vocabulary means the feedback data should be OTel spans, not a bespoke protocol. AaraMinds already emits these. [S2]</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Eval cases mined from production</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The highest-value move is closing the loop from a production failure to a regression case; one recurring failure becomes one new golden case. Directly feeds AaraMinds' evaluation gate. [S3]</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Observability/eval layer is commoditized</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Braintrust, Langfuse, Databricks, LangSmith, Arize provide trace storage and online evaluation. Per AaraMinds' adopt-don't-build principle, adopt the backend; build only the governed loop. [S1][S3]</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Third-party feedback signals are gated</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Vendor agents (e.g. Copilot) do not expose their thumbs-up/down telemetry to third parties; AaraMinds must capture feedback for its own agents' outputs. [S4]</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Privacy enforcement is escalating sharply</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European regulators issued EUR 5.65B in GDPR fines since 2018, with EUR 2.3B in 2025 alone (+38% year over year). Developer telemetry that can profile a person is personal data and needs a lawful basis. Privacy is a gating design constraint, not an afterthought. [S5][S6]</w:t>
            </w:r>
          </w:p>
        </w:tc>
      </w:tr>
    </w:tbl>
    <w:p>
      <w:pPr>
        <w:pStyle w:val="Heading1"/>
        <w:spacing w:after="140" w:before="280"/>
      </w:pPr>
      <w:r>
        <w:rPr>
          <w:b/>
          <w:bCs/>
          <w:color w:val="1F2A44"/>
          <w:sz w:val="26"/>
          <w:szCs w:val="26"/>
        </w:rPr>
        <w:t xml:space="preserve">4. Business Problem Statement</w:t>
      </w:r>
    </w:p>
    <w:p>
      <w:pPr>
        <w:spacing w:after="120"/>
      </w:pPr>
      <w:r>
        <w:rPr>
          <w:b w:val="false"/>
          <w:bCs w:val="false"/>
          <w:i w:val="false"/>
          <w:iCs w:val="false"/>
          <w:sz w:val="20"/>
          <w:szCs w:val="20"/>
        </w:rPr>
        <w:t xml:space="preserve">A readiness certificate is issued once, at design time, against a fixed rubric and a seeded evaluation suite. Real usage then diverges from that snapshot: developers accept some drafts, silently correct others, and hit failure modes the seeded suite never contained. Today AaraMinds has no governed mechanism to observe this, so three things do not happen: (1) recurring real-world failures are not captured as evaluation cases, so the evaluation suites stay small and synthetic; (2) the rubric is calibrated by opinion rather than evidence, because we cannot see which checks actually predict reviewer overrides; and (3) improvements to agents are not measured against real outcomes, only against design-time scores.</w:t>
      </w:r>
    </w:p>
    <w:p>
      <w:pPr>
        <w:spacing w:after="120"/>
      </w:pPr>
      <w:r>
        <w:rPr>
          <w:b w:val="false"/>
          <w:bCs w:val="false"/>
          <w:i w:val="false"/>
          <w:iCs w:val="false"/>
          <w:sz w:val="20"/>
          <w:szCs w:val="20"/>
        </w:rPr>
        <w:t xml:space="preserve">The naive solution — a proxy that intercepts developer and agent traffic and streams it to a central server — is unacceptable. It creates GDPR exposure (developer telemetry is personal data), source-code exposure (even metadata leaks competitive information), and workforce-monitoring concerns (developer surveillance triggers co-determination in parts of the EU). Critically, it would violate AaraMinds' own governance posture — data classification, secrets protection, and no-PII rules — undermining the very brand the platform sells. The problem is therefore to build the flywheel without the surveillance: a governed, consented, privacy-preserving loop.</w:t>
      </w:r>
    </w:p>
    <w:p>
      <w:pPr>
        <w:pStyle w:val="Heading1"/>
        <w:spacing w:after="140" w:before="280"/>
      </w:pPr>
      <w:r>
        <w:rPr>
          <w:b/>
          <w:bCs/>
          <w:color w:val="1F2A44"/>
          <w:sz w:val="26"/>
          <w:szCs w:val="26"/>
        </w:rPr>
        <w:t xml:space="preserve">5. Business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5560"/>
      </w:tblGrid>
      <w:tr>
        <w:trPr>
          <w:tblHeader/>
        </w:trPr>
        <w:tc>
          <w:tcPr>
            <w:tcW w:type="dxa" w:w="9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ID</w:t>
            </w:r>
          </w:p>
        </w:tc>
        <w:tc>
          <w:tcPr>
            <w:tcW w:type="dxa" w:w="29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Objective</w:t>
            </w:r>
          </w:p>
        </w:tc>
        <w:tc>
          <w:tcPr>
            <w:tcW w:type="dxa" w:w="55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Description</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BO-01</w:t>
            </w:r>
          </w:p>
        </w:tc>
        <w:tc>
          <w:tcPr>
            <w:tcW w:type="dxa" w:w="2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Keep agents continuously certified</w:t>
            </w:r>
          </w:p>
        </w:tc>
        <w:tc>
          <w:tcPr>
            <w:tcW w:type="dxa" w:w="55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Re-certify agents against real production evidence, not only a one-time design-time score.</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BO-02</w:t>
            </w:r>
          </w:p>
        </w:tc>
        <w:tc>
          <w:tcPr>
            <w:tcW w:type="dxa" w:w="2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Grow evaluation coverage from reality</w:t>
            </w:r>
          </w:p>
        </w:tc>
        <w:tc>
          <w:tcPr>
            <w:tcW w:type="dxa" w:w="55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Automatically mine recurring production failures into golden evaluation cases, replacing synthetic-only suites.</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BO-03</w:t>
            </w:r>
          </w:p>
        </w:tc>
        <w:tc>
          <w:tcPr>
            <w:tcW w:type="dxa" w:w="2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Calibrate the rubric with evidence</w:t>
            </w:r>
          </w:p>
        </w:tc>
        <w:tc>
          <w:tcPr>
            <w:tcW w:type="dxa" w:w="55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Use real reviewer overrides and outcomes to tune readiness checks and thresholds, resolving calibration by data not opinion.</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BO-04</w:t>
            </w:r>
          </w:p>
        </w:tc>
        <w:tc>
          <w:tcPr>
            <w:tcW w:type="dxa" w:w="2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Measure agent improvement on outcomes</w:t>
            </w:r>
          </w:p>
        </w:tc>
        <w:tc>
          <w:tcPr>
            <w:tcW w:type="dxa" w:w="55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Compare agent versions on real accept and correction rates, not just design-time scores.</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BO-05</w:t>
            </w:r>
          </w:p>
        </w:tc>
        <w:tc>
          <w:tcPr>
            <w:tcW w:type="dxa" w:w="2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Do it privacy-first, by design</w:t>
            </w:r>
          </w:p>
        </w:tc>
        <w:tc>
          <w:tcPr>
            <w:tcW w:type="dxa" w:w="55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Capture feedback with lawful basis, consent, redaction, hash-and-reference payloads, and data residency that survives enterprise security and legal review.</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BO-06</w:t>
            </w:r>
          </w:p>
        </w:tc>
        <w:tc>
          <w:tcPr>
            <w:tcW w:type="dxa" w:w="2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Extend the certification moat</w:t>
            </w:r>
          </w:p>
        </w:tc>
        <w:tc>
          <w:tcPr>
            <w:tcW w:type="dxa" w:w="55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Establish continuous, evidence-based certification as a capability no registry or observability tool offers.</w:t>
            </w:r>
          </w:p>
        </w:tc>
      </w:tr>
    </w:tbl>
    <w:p>
      <w:pPr>
        <w:pStyle w:val="Heading1"/>
        <w:spacing w:after="140" w:before="280"/>
      </w:pPr>
      <w:r>
        <w:rPr>
          <w:b/>
          <w:bCs/>
          <w:color w:val="1F2A44"/>
          <w:sz w:val="26"/>
          <w:szCs w:val="26"/>
        </w:rPr>
        <w:t xml:space="preserve">6. Business Value Model and ROI Hypothesis</w:t>
      </w:r>
    </w:p>
    <w:p>
      <w:pPr>
        <w:spacing w:after="120"/>
      </w:pPr>
      <w:r>
        <w:rPr>
          <w:b w:val="false"/>
          <w:bCs w:val="false"/>
          <w:i w:val="false"/>
          <w:iCs w:val="false"/>
          <w:sz w:val="20"/>
          <w:szCs w:val="20"/>
        </w:rPr>
        <w:t xml:space="preserve">The initiative is funded on a value hypothesis, not fabricated savings: baselines are measured during Phase 0 and the pilot, and targets are set only after evidence exists. Each lever maps to a success metric in Section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3260"/>
      </w:tblGrid>
      <w:tr>
        <w:trPr>
          <w:tblHeader/>
        </w:trPr>
        <w:tc>
          <w:tcPr>
            <w:tcW w:type="dxa" w:w="25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Value lever</w:t>
            </w:r>
          </w:p>
        </w:tc>
        <w:tc>
          <w:tcPr>
            <w:tcW w:type="dxa" w:w="36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Mechanism</w:t>
            </w:r>
          </w:p>
        </w:tc>
        <w:tc>
          <w:tcPr>
            <w:tcW w:type="dxa" w:w="32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Measure (baseline in pilot)</w:t>
            </w:r>
          </w:p>
        </w:tc>
      </w:tr>
      <w:tr>
        <w:tc>
          <w:tcPr>
            <w:tcW w:type="dxa" w:w="25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Higher agent quality</w:t>
            </w:r>
          </w:p>
        </w:tc>
        <w:tc>
          <w:tcPr>
            <w:tcW w:type="dxa" w:w="3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Real failures become golden cases; agents are re-tested against reality.</w:t>
            </w:r>
          </w:p>
        </w:tc>
        <w:tc>
          <w:tcPr>
            <w:tcW w:type="dxa" w:w="32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Draft acceptance rate up; correction rate down (M-02, M-03).</w:t>
            </w:r>
          </w:p>
        </w:tc>
      </w:tr>
      <w:tr>
        <w:tc>
          <w:tcPr>
            <w:tcW w:type="dxa" w:w="25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Faster time-to-improve</w:t>
            </w:r>
          </w:p>
        </w:tc>
        <w:tc>
          <w:tcPr>
            <w:tcW w:type="dxa" w:w="3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Recurring failures are mined automatically instead of discovered ad hoc.</w:t>
            </w:r>
          </w:p>
        </w:tc>
        <w:tc>
          <w:tcPr>
            <w:tcW w:type="dxa" w:w="32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Time from failure observed to eval case added (M-04).</w:t>
            </w:r>
          </w:p>
        </w:tc>
      </w:tr>
      <w:tr>
        <w:tc>
          <w:tcPr>
            <w:tcW w:type="dxa" w:w="25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Evidence-based governance</w:t>
            </w:r>
          </w:p>
        </w:tc>
        <w:tc>
          <w:tcPr>
            <w:tcW w:type="dxa" w:w="3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Rubric tuned by real overrides; thresholds justified by data.</w:t>
            </w:r>
          </w:p>
        </w:tc>
        <w:tc>
          <w:tcPr>
            <w:tcW w:type="dxa" w:w="32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Rubric recalibrations backed by evidence (M-05).</w:t>
            </w:r>
          </w:p>
        </w:tc>
      </w:tr>
      <w:tr>
        <w:tc>
          <w:tcPr>
            <w:tcW w:type="dxa" w:w="25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Reduced review rework</w:t>
            </w:r>
          </w:p>
        </w:tc>
        <w:tc>
          <w:tcPr>
            <w:tcW w:type="dxa" w:w="3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Better agents mean fewer human corrections per output.</w:t>
            </w:r>
          </w:p>
        </w:tc>
        <w:tc>
          <w:tcPr>
            <w:tcW w:type="dxa" w:w="32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Human edit distance / rework hours per accepted draft.</w:t>
            </w:r>
          </w:p>
        </w:tc>
      </w:tr>
      <w:tr>
        <w:tc>
          <w:tcPr>
            <w:tcW w:type="dxa" w:w="25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Defensible differentiation</w:t>
            </w:r>
          </w:p>
        </w:tc>
        <w:tc>
          <w:tcPr>
            <w:tcW w:type="dxa" w:w="3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Continuous certification as a named capability.</w:t>
            </w:r>
          </w:p>
        </w:tc>
        <w:tc>
          <w:tcPr>
            <w:tcW w:type="dxa" w:w="32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Continuous-certification story usable in sales/board materials.</w:t>
            </w:r>
          </w:p>
        </w:tc>
      </w:tr>
      <w:tr>
        <w:tc>
          <w:tcPr>
            <w:tcW w:type="dxa" w:w="25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Compliance-by-design</w:t>
            </w:r>
          </w:p>
        </w:tc>
        <w:tc>
          <w:tcPr>
            <w:tcW w:type="dxa" w:w="3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Privacy posture productized, not bolted on.</w:t>
            </w:r>
          </w:p>
        </w:tc>
        <w:tc>
          <w:tcPr>
            <w:tcW w:type="dxa" w:w="32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Zero raw-code egress; documented lawful basis and DSAR path.</w:t>
            </w:r>
          </w:p>
        </w:tc>
      </w:tr>
    </w:tbl>
    <w:p>
      <w:pPr>
        <w:spacing w:after="160"/>
      </w:pPr>
      <w:r>
        <w:rPr>
          <w:b w:val="false"/>
          <w:bCs w:val="false"/>
          <w:i w:val="false"/>
          <w:iCs w:val="false"/>
          <w:sz w:val="20"/>
          <w:szCs w:val="20"/>
        </w:rPr>
        <w:t xml:space="preserve">Cost posture: Phase 0 plus a Phase 1 MVP is a small engineering effort that reuses existing assets (OTel emission, eval-run schema, rubric, hash-and-reference) and adopts an external evaluation backend rather than building one. Funding ask: Phase 0 and Phase 1 only. Phase 2 and beyond are gated on pilot evidence and the decision gates in Section 20.</w:t>
      </w:r>
    </w:p>
    <w:p>
      <w:pPr>
        <w:pStyle w:val="Heading1"/>
        <w:spacing w:after="140" w:before="280"/>
      </w:pPr>
      <w:r>
        <w:rPr>
          <w:b/>
          <w:bCs/>
          <w:color w:val="1F2A44"/>
          <w:sz w:val="26"/>
          <w:szCs w:val="26"/>
        </w:rPr>
        <w:t xml:space="preserve">7. Competitive Landscape and Differentiation</w:t>
      </w:r>
    </w:p>
    <w:p>
      <w:pPr>
        <w:spacing w:after="120"/>
      </w:pPr>
      <w:r>
        <w:rPr>
          <w:b w:val="false"/>
          <w:bCs w:val="false"/>
          <w:i w:val="false"/>
          <w:iCs w:val="false"/>
          <w:sz w:val="20"/>
          <w:szCs w:val="20"/>
        </w:rPr>
        <w:t xml:space="preserve">AaraMinds does not compete inside any of these categories; it composes them. The differentiation claim is singular: no adjacent category closes the loop from production evidence back to a governed, machine-verifiable certification.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Category</w:t>
            </w:r>
          </w:p>
        </w:tc>
        <w:tc>
          <w:tcPr>
            <w:tcW w:type="dxa" w:w="34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Representative examples</w:t>
            </w:r>
          </w:p>
        </w:tc>
        <w:tc>
          <w:tcPr>
            <w:tcW w:type="dxa" w:w="37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Why AaraMinds is different</w:t>
            </w:r>
          </w:p>
        </w:tc>
      </w:tr>
      <w:tr>
        <w:tc>
          <w:tcPr>
            <w:tcW w:type="dxa" w:w="2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Agent registries / control planes</w:t>
            </w:r>
          </w:p>
        </w:tc>
        <w:tc>
          <w:tcPr>
            <w:tcW w:type="dxa" w:w="3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AWS Agent Registry, Google Agent Registry, Microsoft Agent 365</w:t>
            </w:r>
          </w:p>
        </w:tc>
        <w:tc>
          <w:tcPr>
            <w:tcW w:type="dxa" w:w="3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They catalog and approve agents; they do not compute a certification from evidence, nor re-certify from production usage.</w:t>
            </w:r>
          </w:p>
        </w:tc>
      </w:tr>
      <w:tr>
        <w:tc>
          <w:tcPr>
            <w:tcW w:type="dxa" w:w="2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Observability / eval platforms</w:t>
            </w:r>
          </w:p>
        </w:tc>
        <w:tc>
          <w:tcPr>
            <w:tcW w:type="dxa" w:w="3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Braintrust, Langfuse, Databricks, LangSmith, Arize</w:t>
            </w:r>
          </w:p>
        </w:tc>
        <w:tc>
          <w:tcPr>
            <w:tcW w:type="dxa" w:w="3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They store traces and score runs; AaraMinds consumes their outputs as evidence into a governed certification and rubric calibration. Adopt, do not rebuild.</w:t>
            </w:r>
          </w:p>
        </w:tc>
      </w:tr>
      <w:tr>
        <w:tc>
          <w:tcPr>
            <w:tcW w:type="dxa" w:w="2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IDE AI assistants</w:t>
            </w:r>
          </w:p>
        </w:tc>
        <w:tc>
          <w:tcPr>
            <w:tcW w:type="dxa" w:w="3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Copilot, Cursor, Gemini Code Assist</w:t>
            </w:r>
          </w:p>
        </w:tc>
        <w:tc>
          <w:tcPr>
            <w:tcW w:type="dxa" w:w="3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They collect telemetry for their own model improvement, not exposed to third parties; AaraMinds captures feedback for its own governed agents.</w:t>
            </w:r>
          </w:p>
        </w:tc>
      </w:tr>
      <w:tr>
        <w:tc>
          <w:tcPr>
            <w:tcW w:type="dxa" w:w="2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AI governance / GRC</w:t>
            </w:r>
          </w:p>
        </w:tc>
        <w:tc>
          <w:tcPr>
            <w:tcW w:type="dxa" w:w="3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Model-risk and AI GRC suites</w:t>
            </w:r>
          </w:p>
        </w:tc>
        <w:tc>
          <w:tcPr>
            <w:tcW w:type="dxa" w:w="3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They manage policy and attestation at portfolio level; AaraMinds ties continuous, per-agent certification to live evidence.</w:t>
            </w:r>
          </w:p>
        </w:tc>
      </w:tr>
    </w:tbl>
    <w:p>
      <w:pPr>
        <w:spacing w:after="160"/>
      </w:pPr>
      <w:r>
        <w:rPr>
          <w:b w:val="false"/>
          <w:bCs w:val="false"/>
          <w:i w:val="false"/>
          <w:iCs w:val="false"/>
          <w:sz w:val="20"/>
          <w:szCs w:val="20"/>
        </w:rPr>
        <w:t xml:space="preserve">Category risk: an observability vendor could add a light certification feature, or a control-plane vendor could add evidence rollups. Defense: the governed loop (redaction, consent, tenant-local residency, evidence-cited rubric calibration, and the activation gate) requires deep agent-domain opinion that horizontal tools lack, and it is continuous with the design-time certification AaraMinds already owns.</w:t>
      </w:r>
    </w:p>
    <w:p>
      <w:pPr>
        <w:pStyle w:val="Heading1"/>
        <w:spacing w:after="140" w:before="280"/>
      </w:pPr>
      <w:r>
        <w:rPr>
          <w:b/>
          <w:bCs/>
          <w:color w:val="1F2A44"/>
          <w:sz w:val="26"/>
          <w:szCs w:val="26"/>
        </w:rPr>
        <w:t xml:space="preserve">8. Target Users and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Persona</w:t>
            </w:r>
          </w:p>
        </w:tc>
        <w:tc>
          <w:tcPr>
            <w:tcW w:type="dxa" w:w="67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Role in the initiative</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Engineering / Platform VP</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Primary sponsor; rewards delivery velocity, agent quality, and reduced toil; owns adoption and the funding decision.</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Agent owners / builders</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Consume mined eval cases and version comparisons to improve their agents.</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Security reviewer</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Reviews redaction, secrets handling, tenant-local residency, and the feedback pipeline's ASI controls.</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Data Protection Officer / Legal</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Owns lawful basis, consent model, data-subject rights, works-council posture; a mandatory Phase 0 gate.</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AI Governance / Compliance lead</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Maps the loop to EU AI Act, ISO/IEC 42001, and NIST AI RMF; owns compliance evidence.</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Platform admin</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Operates collectors, retention, kill switch, and the certification recalibration cadence.</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End-user developers</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Provide consented feedback (accept / reject / edit) through their IDE; the loop must respect their privacy and never surveil them.</w:t>
            </w:r>
          </w:p>
        </w:tc>
      </w:tr>
    </w:tbl>
    <w:p>
      <w:pPr>
        <w:pStyle w:val="Heading1"/>
        <w:spacing w:after="140" w:before="280"/>
      </w:pPr>
      <w:r>
        <w:rPr>
          <w:b/>
          <w:bCs/>
          <w:color w:val="1F2A44"/>
          <w:sz w:val="26"/>
          <w:szCs w:val="26"/>
        </w:rPr>
        <w:t xml:space="preserve">9. Product Vision and Positioning</w:t>
      </w:r>
    </w:p>
    <w:p>
      <w:pPr>
        <w:spacing w:after="120"/>
      </w:pPr>
      <w:r>
        <w:rPr>
          <w:b w:val="false"/>
          <w:bCs w:val="false"/>
          <w:i w:val="false"/>
          <w:iCs w:val="false"/>
          <w:sz w:val="20"/>
          <w:szCs w:val="20"/>
        </w:rPr>
        <w:t xml:space="preserve">Vision: AaraMinds agents are not certified once and forgotten; they are kept continuously certified with governed, privacy-preserving evidence from real use, and they measurably improve because real failures feed real evaluation.</w:t>
      </w:r>
    </w:p>
    <w:p>
      <w:pPr>
        <w:spacing w:after="120"/>
      </w:pPr>
      <w:r>
        <w:rPr>
          <w:b w:val="false"/>
          <w:bCs w:val="false"/>
          <w:i w:val="false"/>
          <w:iCs w:val="false"/>
          <w:sz w:val="20"/>
          <w:szCs w:val="20"/>
        </w:rPr>
        <w:t xml:space="preserve">Positioning statement: the Continuous Certification &amp; Agent Feedback Loop is a privacy-first evidence pipeline that turns consented production feedback into mined evaluation cases, evidence-based rubric calibration, and outcome-based version comparison — extending machine-verifiable readiness from a design-time gate into an ongoing guarantee.</w:t>
      </w:r>
    </w:p>
    <w:p>
      <w:pPr>
        <w:spacing w:after="120"/>
      </w:pPr>
      <w:r>
        <w:rPr>
          <w:b w:val="false"/>
          <w:bCs w:val="false"/>
          <w:i w:val="false"/>
          <w:iCs w:val="false"/>
          <w:sz w:val="20"/>
          <w:szCs w:val="20"/>
        </w:rPr>
        <w:t xml:space="preserve">Naming discipline: this is a certification and feedback capability, not a telemetry or monitoring proxy. The framing is continuous certification, not surveillance — because the framing is also the design constraint.</w:t>
      </w:r>
    </w:p>
    <w:p>
      <w:pPr>
        <w:pStyle w:val="Heading1"/>
        <w:spacing w:after="140" w:before="280"/>
      </w:pPr>
      <w:r>
        <w:rPr>
          <w:b/>
          <w:bCs/>
          <w:color w:val="1F2A44"/>
          <w:sz w:val="26"/>
          <w:szCs w:val="26"/>
        </w:rPr>
        <w:t xml:space="preserve">10. Scope</w:t>
      </w:r>
    </w:p>
    <w:p>
      <w:pPr>
        <w:pStyle w:val="Heading2"/>
        <w:spacing w:after="100" w:before="200"/>
      </w:pPr>
      <w:r>
        <w:rPr>
          <w:b/>
          <w:bCs/>
          <w:color w:val="1F2A44"/>
          <w:sz w:val="22"/>
          <w:szCs w:val="22"/>
        </w:rPr>
        <w:t xml:space="preserve">10.1 In scope for the MVP</w:t>
      </w:r>
    </w:p>
    <w:p>
      <w:pPr>
        <w:pStyle w:val="ListParagraph"/>
        <w:numPr>
          <w:ilvl w:val="0"/>
          <w:numId w:val="2"/>
        </w:numPr>
        <w:spacing w:after="60"/>
      </w:pPr>
      <w:r>
        <w:rPr>
          <w:sz w:val="20"/>
          <w:szCs w:val="20"/>
        </w:rPr>
        <w:t xml:space="preserve">A versioned agent-feedback event schema: an OpenTelemetry GenAI span plus a small structured feedback event (accepted / rejected / edited / corrected), with a consent flag and redaction metadata.</w:t>
      </w:r>
    </w:p>
    <w:p>
      <w:pPr>
        <w:pStyle w:val="ListParagraph"/>
        <w:numPr>
          <w:ilvl w:val="0"/>
          <w:numId w:val="2"/>
        </w:numPr>
        <w:spacing w:after="60"/>
      </w:pPr>
      <w:r>
        <w:rPr>
          <w:sz w:val="20"/>
          <w:szCs w:val="20"/>
        </w:rPr>
        <w:t xml:space="preserve">Hash-and-reference payloads only: content hashes and derived signals, never raw source code or prompts, reusing the platform's existing payload mode.</w:t>
      </w:r>
    </w:p>
    <w:p>
      <w:pPr>
        <w:pStyle w:val="ListParagraph"/>
        <w:numPr>
          <w:ilvl w:val="0"/>
          <w:numId w:val="2"/>
        </w:numPr>
        <w:spacing w:after="60"/>
      </w:pPr>
      <w:r>
        <w:rPr>
          <w:sz w:val="20"/>
          <w:szCs w:val="20"/>
        </w:rPr>
        <w:t xml:space="preserve">Source-side redaction and secret/PII scrubbing before any data leaves the developer environment.</w:t>
      </w:r>
    </w:p>
    <w:p>
      <w:pPr>
        <w:pStyle w:val="ListParagraph"/>
        <w:numPr>
          <w:ilvl w:val="0"/>
          <w:numId w:val="2"/>
        </w:numPr>
        <w:spacing w:after="60"/>
      </w:pPr>
      <w:r>
        <w:rPr>
          <w:sz w:val="20"/>
          <w:szCs w:val="20"/>
        </w:rPr>
        <w:t xml:space="preserve">One privacy-first ingestion pipeline: OTLP to an OpenTelemetry Collector, tenant-local by default, with only aggregates and derived signals leaving the boundary.</w:t>
      </w:r>
    </w:p>
    <w:p>
      <w:pPr>
        <w:pStyle w:val="ListParagraph"/>
        <w:numPr>
          <w:ilvl w:val="0"/>
          <w:numId w:val="2"/>
        </w:numPr>
        <w:spacing w:after="60"/>
      </w:pPr>
      <w:r>
        <w:rPr>
          <w:sz w:val="20"/>
          <w:szCs w:val="20"/>
        </w:rPr>
        <w:t xml:space="preserve">An evaluation-case miner that turns recurring production failures into golden cases appended to an agent's eval suite.</w:t>
      </w:r>
    </w:p>
    <w:p>
      <w:pPr>
        <w:pStyle w:val="ListParagraph"/>
        <w:numPr>
          <w:ilvl w:val="0"/>
          <w:numId w:val="2"/>
        </w:numPr>
        <w:spacing w:after="60"/>
      </w:pPr>
      <w:r>
        <w:rPr>
          <w:sz w:val="20"/>
          <w:szCs w:val="20"/>
        </w:rPr>
        <w:t xml:space="preserve">A documented consent model and data-subject-rights (access / erasure) posture.</w:t>
      </w:r>
    </w:p>
    <w:p>
      <w:pPr>
        <w:pStyle w:val="ListParagraph"/>
        <w:numPr>
          <w:ilvl w:val="0"/>
          <w:numId w:val="2"/>
        </w:numPr>
        <w:spacing w:after="60"/>
      </w:pPr>
      <w:r>
        <w:rPr>
          <w:sz w:val="20"/>
          <w:szCs w:val="20"/>
        </w:rPr>
        <w:t xml:space="preserve">Integration with an adopted evaluation/observability backend for trace storage and online scoring.</w:t>
      </w:r>
    </w:p>
    <w:p>
      <w:pPr>
        <w:pStyle w:val="Heading2"/>
        <w:spacing w:after="100" w:before="200"/>
      </w:pPr>
      <w:r>
        <w:rPr>
          <w:b/>
          <w:bCs/>
          <w:color w:val="1F2A44"/>
          <w:sz w:val="22"/>
          <w:szCs w:val="22"/>
        </w:rPr>
        <w:t xml:space="preserve">10.2 In scope for later phases</w:t>
      </w:r>
    </w:p>
    <w:p>
      <w:pPr>
        <w:pStyle w:val="ListParagraph"/>
        <w:numPr>
          <w:ilvl w:val="0"/>
          <w:numId w:val="2"/>
        </w:numPr>
        <w:spacing w:after="60"/>
      </w:pPr>
      <w:r>
        <w:rPr>
          <w:sz w:val="20"/>
          <w:szCs w:val="20"/>
        </w:rPr>
        <w:t xml:space="preserve">Evidence-based rubric calibration (which checks predict reviewer overrides) feeding a versioned rubric bump.</w:t>
      </w:r>
    </w:p>
    <w:p>
      <w:pPr>
        <w:pStyle w:val="ListParagraph"/>
        <w:numPr>
          <w:ilvl w:val="0"/>
          <w:numId w:val="2"/>
        </w:numPr>
        <w:spacing w:after="60"/>
      </w:pPr>
      <w:r>
        <w:rPr>
          <w:sz w:val="20"/>
          <w:szCs w:val="20"/>
        </w:rPr>
        <w:t xml:space="preserve">Agent version A/B comparison on real accept / correction outcomes.</w:t>
      </w:r>
    </w:p>
    <w:p>
      <w:pPr>
        <w:pStyle w:val="ListParagraph"/>
        <w:numPr>
          <w:ilvl w:val="0"/>
          <w:numId w:val="2"/>
        </w:numPr>
        <w:spacing w:after="60"/>
      </w:pPr>
      <w:r>
        <w:rPr>
          <w:sz w:val="20"/>
          <w:szCs w:val="20"/>
        </w:rPr>
        <w:t xml:space="preserve">Thin VSCode and JetBrains (IntelliJ) extensions as the human-feedback surface and agent-status display.</w:t>
      </w:r>
    </w:p>
    <w:p>
      <w:pPr>
        <w:pStyle w:val="ListParagraph"/>
        <w:numPr>
          <w:ilvl w:val="0"/>
          <w:numId w:val="2"/>
        </w:numPr>
        <w:spacing w:after="60"/>
      </w:pPr>
      <w:r>
        <w:rPr>
          <w:sz w:val="20"/>
          <w:szCs w:val="20"/>
        </w:rPr>
        <w:t xml:space="preserve">Continuous-certification recalibration cadence and a per-agent certification-drift alert.</w:t>
      </w:r>
    </w:p>
    <w:p>
      <w:pPr>
        <w:pStyle w:val="ListParagraph"/>
        <w:numPr>
          <w:ilvl w:val="0"/>
          <w:numId w:val="2"/>
        </w:numPr>
        <w:spacing w:after="60"/>
      </w:pPr>
      <w:r>
        <w:rPr>
          <w:sz w:val="20"/>
          <w:szCs w:val="20"/>
        </w:rPr>
        <w:t xml:space="preserve">Optional productization of continuous certification as a sellable capability.</w:t>
      </w:r>
    </w:p>
    <w:p>
      <w:pPr>
        <w:pStyle w:val="Heading2"/>
        <w:spacing w:after="100" w:before="200"/>
      </w:pPr>
      <w:r>
        <w:rPr>
          <w:b/>
          <w:bCs/>
          <w:color w:val="1F2A44"/>
          <w:sz w:val="22"/>
          <w:szCs w:val="22"/>
        </w:rPr>
        <w:t xml:space="preserve">10.3 Out of scope (explicit)</w:t>
      </w:r>
    </w:p>
    <w:p>
      <w:pPr>
        <w:pStyle w:val="ListParagraph"/>
        <w:numPr>
          <w:ilvl w:val="0"/>
          <w:numId w:val="2"/>
        </w:numPr>
        <w:spacing w:after="60"/>
      </w:pPr>
      <w:r>
        <w:rPr>
          <w:sz w:val="20"/>
          <w:szCs w:val="20"/>
        </w:rPr>
        <w:t xml:space="preserve">Any traffic-intercepting or man-in-the-middle proxy over IDE or agent network traffic.</w:t>
      </w:r>
    </w:p>
    <w:p>
      <w:pPr>
        <w:pStyle w:val="ListParagraph"/>
        <w:numPr>
          <w:ilvl w:val="0"/>
          <w:numId w:val="2"/>
        </w:numPr>
        <w:spacing w:after="60"/>
      </w:pPr>
      <w:r>
        <w:rPr>
          <w:sz w:val="20"/>
          <w:szCs w:val="20"/>
        </w:rPr>
        <w:t xml:space="preserve">Centralizing raw source code, raw prompts, or raw completions in a vendor cloud.</w:t>
      </w:r>
    </w:p>
    <w:p>
      <w:pPr>
        <w:pStyle w:val="ListParagraph"/>
        <w:numPr>
          <w:ilvl w:val="0"/>
          <w:numId w:val="2"/>
        </w:numPr>
        <w:spacing w:after="60"/>
      </w:pPr>
      <w:r>
        <w:rPr>
          <w:sz w:val="20"/>
          <w:szCs w:val="20"/>
        </w:rPr>
        <w:t xml:space="preserve">Capturing or storing personal data without a lawful basis and consent.</w:t>
      </w:r>
    </w:p>
    <w:p>
      <w:pPr>
        <w:pStyle w:val="ListParagraph"/>
        <w:numPr>
          <w:ilvl w:val="0"/>
          <w:numId w:val="2"/>
        </w:numPr>
        <w:spacing w:after="60"/>
      </w:pPr>
      <w:r>
        <w:rPr>
          <w:sz w:val="20"/>
          <w:szCs w:val="20"/>
        </w:rPr>
        <w:t xml:space="preserve">Building an observability or evaluation backend from scratch.</w:t>
      </w:r>
    </w:p>
    <w:p>
      <w:pPr>
        <w:pStyle w:val="ListParagraph"/>
        <w:numPr>
          <w:ilvl w:val="0"/>
          <w:numId w:val="2"/>
        </w:numPr>
        <w:spacing w:after="60"/>
      </w:pPr>
      <w:r>
        <w:rPr>
          <w:sz w:val="20"/>
          <w:szCs w:val="20"/>
        </w:rPr>
        <w:t xml:space="preserve">Autonomous, unattended modification or deployment of agents from feedback (humans decide agent changes).</w:t>
      </w:r>
    </w:p>
    <w:p>
      <w:pPr>
        <w:pStyle w:val="ListParagraph"/>
        <w:numPr>
          <w:ilvl w:val="0"/>
          <w:numId w:val="2"/>
        </w:numPr>
        <w:spacing w:after="60"/>
      </w:pPr>
      <w:r>
        <w:rPr>
          <w:sz w:val="20"/>
          <w:szCs w:val="20"/>
        </w:rPr>
        <w:t xml:space="preserve">Tapping third-party assistants' private telemetry (e.g. Copilot thumbs data).</w:t>
      </w:r>
    </w:p>
    <w:p>
      <w:pPr>
        <w:pStyle w:val="Heading1"/>
        <w:spacing w:after="140" w:before="280"/>
      </w:pPr>
      <w:r>
        <w:rPr>
          <w:b/>
          <w:bCs/>
          <w:color w:val="1F2A44"/>
          <w:sz w:val="26"/>
          <w:szCs w:val="26"/>
        </w:rPr>
        <w:t xml:space="preserve">11. Business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5160"/>
        <w:gridCol w:w="1000"/>
      </w:tblGrid>
      <w:tr>
        <w:trPr>
          <w:tblHeader/>
        </w:trPr>
        <w:tc>
          <w:tcPr>
            <w:tcW w:type="dxa" w:w="9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ID</w:t>
            </w:r>
          </w:p>
        </w:tc>
        <w:tc>
          <w:tcPr>
            <w:tcW w:type="dxa" w:w="23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Requirement</w:t>
            </w:r>
          </w:p>
        </w:tc>
        <w:tc>
          <w:tcPr>
            <w:tcW w:type="dxa" w:w="51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Description</w:t>
            </w:r>
          </w:p>
        </w:tc>
        <w:tc>
          <w:tcPr>
            <w:tcW w:type="dxa" w:w="10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Priority</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BR-01</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Feedback event schema</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Define and version an agent-feedback event (OTel GenAI span + structured accept/reject/edit event) with consent flag and redaction metadata.</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Must</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BR-02</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Hash-and-reference payloads</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Emit content hashes and derived signals only; never raw code, prompts, or completions.</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Must</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BR-03</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Source-side redaction</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Scrub secrets and PII before any data leaves the developer environment; fail closed if scrubbing cannot run.</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Must</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BR-04</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Consent and lawful basis</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Obtain and record consent before first collection; support withdrawal; document the lawful basis.</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Must</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BR-05</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Data-subject rights</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Support access and erasure requests against collected feedback within the required window.</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Must</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BR-06</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Tenant-local by default</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Keep raw telemetry within the customer boundary; only aggregates / derived signals may leave.</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Must</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BR-07</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Standards-based transport</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Use OTLP to an OpenTelemetry Collector; do not invent a bespoke wire protocol.</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Must</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BR-08</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Evaluation-case mining</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Turn recurring production failures into golden evaluation cases appended to an agent's eval suite.</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Must</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BR-09</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Evidence-based rubric calibration</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Surface which readiness checks predict reviewer overrides and feed a versioned rubric change.</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Should</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BR-10</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Version A/B on outcomes</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Compare agent versions on real accept / correction rates, not only design-time score.</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Should</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BR-11</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Human-in-the-loop only</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Feedback informs; humans decide and approve agent changes. No autonomous agent modification or deploy.</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Must</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BR-12</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Adopt an eval backend</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Integrate a best-of-breed evaluation/observability backend for storage and online scoring; do not build one.</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Should</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BR-13</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Kill switch and pause</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Admins can pause collection globally or per agent, and purge collected data.</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Must</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BR-14</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IDE feedback surface</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Provide a thin VSCode / IntelliJ surface for explicit feedback and agent status; not a network interceptor.</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Could</w:t>
            </w:r>
          </w:p>
        </w:tc>
      </w:tr>
      <w:tr>
        <w:tc>
          <w:tcPr>
            <w:tcW w:type="dxa" w:w="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BR-15</w:t>
            </w:r>
          </w:p>
        </w:tc>
        <w:tc>
          <w:tcPr>
            <w:tcW w:type="dxa" w:w="2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Certification recalibration</w:t>
            </w:r>
          </w:p>
        </w:tc>
        <w:tc>
          <w:tcPr>
            <w:tcW w:type="dxa" w:w="5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Re-run readiness with mined cases on a cadence; alert on certification drift.</w:t>
            </w:r>
          </w:p>
        </w:tc>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Could</w:t>
            </w:r>
          </w:p>
        </w:tc>
      </w:tr>
    </w:tbl>
    <w:p>
      <w:pPr>
        <w:pStyle w:val="Heading1"/>
        <w:spacing w:after="140" w:before="280"/>
      </w:pPr>
      <w:r>
        <w:rPr>
          <w:b/>
          <w:bCs/>
          <w:color w:val="1F2A44"/>
          <w:sz w:val="26"/>
          <w:szCs w:val="26"/>
        </w:rPr>
        <w:t xml:space="preserve">12.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360"/>
      </w:tblGrid>
      <w:tr>
        <w:trPr>
          <w:tblHeader/>
        </w:trPr>
        <w:tc>
          <w:tcPr>
            <w:tcW w:type="dxa" w:w="11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ID</w:t>
            </w:r>
          </w:p>
        </w:tc>
        <w:tc>
          <w:tcPr>
            <w:tcW w:type="dxa" w:w="19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Category</w:t>
            </w:r>
          </w:p>
        </w:tc>
        <w:tc>
          <w:tcPr>
            <w:tcW w:type="dxa" w:w="63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Requirement</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NFR-01</w:t>
            </w:r>
          </w:p>
        </w:tc>
        <w:tc>
          <w:tcPr>
            <w:tcW w:type="dxa" w:w="1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Privacy</w:t>
            </w:r>
          </w:p>
        </w:tc>
        <w:tc>
          <w:tcPr>
            <w:tcW w:type="dxa" w:w="6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No personal data collected without lawful basis and consent; redaction and hash-and-reference enforced at source.</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NFR-02</w:t>
            </w:r>
          </w:p>
        </w:tc>
        <w:tc>
          <w:tcPr>
            <w:tcW w:type="dxa" w:w="1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Data residency</w:t>
            </w:r>
          </w:p>
        </w:tc>
        <w:tc>
          <w:tcPr>
            <w:tcW w:type="dxa" w:w="6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Raw telemetry stays tenant-local by default; cross-boundary egress limited to derived signals and configurable per customer.</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NFR-03</w:t>
            </w:r>
          </w:p>
        </w:tc>
        <w:tc>
          <w:tcPr>
            <w:tcW w:type="dxa" w:w="1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Security</w:t>
            </w:r>
          </w:p>
        </w:tc>
        <w:tc>
          <w:tcPr>
            <w:tcW w:type="dxa" w:w="6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No raw source code egress; secrets never captured; transport authenticated; least-privilege identities per collector.</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NFR-04</w:t>
            </w:r>
          </w:p>
        </w:tc>
        <w:tc>
          <w:tcPr>
            <w:tcW w:type="dxa" w:w="1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Standards</w:t>
            </w:r>
          </w:p>
        </w:tc>
        <w:tc>
          <w:tcPr>
            <w:tcW w:type="dxa" w:w="6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OpenTelemetry GenAI semantic conventions for all telemetry; no proprietary schema where a standard exists.</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NFR-05</w:t>
            </w:r>
          </w:p>
        </w:tc>
        <w:tc>
          <w:tcPr>
            <w:tcW w:type="dxa" w:w="1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Auditability</w:t>
            </w:r>
          </w:p>
        </w:tc>
        <w:tc>
          <w:tcPr>
            <w:tcW w:type="dxa" w:w="6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Every collected event, consent grant/withdrawal, redaction action, and purge is auditable and replayable.</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NFR-06</w:t>
            </w:r>
          </w:p>
        </w:tc>
        <w:tc>
          <w:tcPr>
            <w:tcW w:type="dxa" w:w="1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Reliability</w:t>
            </w:r>
          </w:p>
        </w:tc>
        <w:tc>
          <w:tcPr>
            <w:tcW w:type="dxa" w:w="6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The loop fails safe: if consent or redaction cannot be verified, no data is collected.</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NFR-07</w:t>
            </w:r>
          </w:p>
        </w:tc>
        <w:tc>
          <w:tcPr>
            <w:tcW w:type="dxa" w:w="1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Extensibility</w:t>
            </w:r>
          </w:p>
        </w:tc>
        <w:tc>
          <w:tcPr>
            <w:tcW w:type="dxa" w:w="6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New feedback signals, agents, and eval backends can be added without redesigning the core.</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NFR-08</w:t>
            </w:r>
          </w:p>
        </w:tc>
        <w:tc>
          <w:tcPr>
            <w:tcW w:type="dxa" w:w="1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Performance</w:t>
            </w:r>
          </w:p>
        </w:tc>
        <w:tc>
          <w:tcPr>
            <w:tcW w:type="dxa" w:w="6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Feedback capture adds negligible latency to the developer's workflow; ingestion is asynchronous.</w:t>
            </w:r>
          </w:p>
        </w:tc>
      </w:tr>
    </w:tbl>
    <w:p>
      <w:pPr>
        <w:pStyle w:val="Heading1"/>
        <w:spacing w:after="140" w:before="280"/>
      </w:pPr>
      <w:r>
        <w:rPr>
          <w:b/>
          <w:bCs/>
          <w:color w:val="1F2A44"/>
          <w:sz w:val="26"/>
          <w:szCs w:val="26"/>
        </w:rPr>
        <w:t xml:space="preserve">13. Recommended Architecture</w:t>
      </w:r>
    </w:p>
    <w:p>
      <w:pPr>
        <w:spacing w:after="120"/>
      </w:pPr>
      <w:r>
        <w:rPr>
          <w:b w:val="false"/>
          <w:bCs w:val="false"/>
          <w:i w:val="false"/>
          <w:iCs w:val="false"/>
          <w:sz w:val="20"/>
          <w:szCs w:val="20"/>
        </w:rPr>
        <w:t xml:space="preserve">Emit structured events; do not intercept traffic. Adopt the commodity layers; build only the governed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Layer</w:t>
            </w:r>
          </w:p>
        </w:tc>
        <w:tc>
          <w:tcPr>
            <w:tcW w:type="dxa" w:w="67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Responsibility (build / adopt)</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Emission</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The agent runtime (which AaraMinds controls, IDE-agnostic) emits OTel GenAI spans plus feedback events with hash-and-reference payloads. (Build — thin)</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Feedback surface</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Thin VSCode / JetBrains extensions capture explicit accept/reject/edit and show agent status. Not a network interceptor. (Build — later phase)</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Redaction</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Source-side secret/PII scrubbing and hashing before egress; fail closed. (Build — core differentiation)</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Transport &amp; ingest</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OTLP to an OpenTelemetry Collector, tenant-local by default. (Adopt OTel Collector)</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Store &amp; online eval</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Trace storage and online scoring in an adopted evaluation/observability backend. (Adopt)</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Governed loop</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Eval-case miner, rubric calibration, version A/B, certification recalibration — tied to the existing eval-run schema and readiness rubric. (Build — core differentiation)</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Governance &amp; privacy</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Consent ledger, data-subject-rights handling, retention, kill switch, audit. (Build — core differentiation)</w:t>
            </w:r>
          </w:p>
        </w:tc>
      </w:tr>
    </w:tbl>
    <w:p>
      <w:pPr>
        <w:pStyle w:val="Heading1"/>
        <w:spacing w:after="140" w:before="280"/>
      </w:pPr>
      <w:r>
        <w:rPr>
          <w:b/>
          <w:bCs/>
          <w:color w:val="1F2A44"/>
          <w:sz w:val="26"/>
          <w:szCs w:val="26"/>
        </w:rPr>
        <w:t xml:space="preserve">14. Data and Privacy Governance</w:t>
      </w:r>
    </w:p>
    <w:p>
      <w:pPr>
        <w:spacing w:after="120"/>
      </w:pPr>
      <w:r>
        <w:rPr>
          <w:b w:val="false"/>
          <w:bCs w:val="false"/>
          <w:i w:val="false"/>
          <w:iCs w:val="false"/>
          <w:sz w:val="20"/>
          <w:szCs w:val="20"/>
        </w:rPr>
        <w:t xml:space="preserve">This is the gating section. The loop is only viable if it survives enterprise security and legal review; privacy is a design constraint, not a feature.</w:t>
      </w:r>
    </w:p>
    <w:p>
      <w:pPr>
        <w:spacing w:after="120"/>
      </w:pPr>
      <w:r>
        <w:rPr>
          <w:b w:val="false"/>
          <w:bCs w:val="false"/>
          <w:i w:val="false"/>
          <w:iCs w:val="false"/>
          <w:sz w:val="20"/>
          <w:szCs w:val="20"/>
        </w:rPr>
        <w:t xml:space="preserve">Lawful basis and consent: obtain consent before first collection, record it in a consent ledger, and support withdrawal. Document the lawful basis per deployment; nothing is collected without it.</w:t>
      </w:r>
    </w:p>
    <w:p>
      <w:pPr>
        <w:spacing w:after="120"/>
      </w:pPr>
      <w:r>
        <w:rPr>
          <w:b w:val="false"/>
          <w:bCs w:val="false"/>
          <w:i w:val="false"/>
          <w:iCs w:val="false"/>
          <w:sz w:val="20"/>
          <w:szCs w:val="20"/>
        </w:rPr>
        <w:t xml:space="preserve">Data minimization and redaction: hash-and-reference payloads only — content hashes and derived signals, never raw source code, prompts, or completions. Secrets and PII are scrubbed at source before egress; if scrubbing cannot be verified, no data is collected (fail closed).</w:t>
      </w:r>
    </w:p>
    <w:p>
      <w:pPr>
        <w:spacing w:after="120"/>
      </w:pPr>
      <w:r>
        <w:rPr>
          <w:b w:val="false"/>
          <w:bCs w:val="false"/>
          <w:i w:val="false"/>
          <w:iCs w:val="false"/>
          <w:sz w:val="20"/>
          <w:szCs w:val="20"/>
        </w:rPr>
        <w:t xml:space="preserve">Data residency: raw telemetry stays within the customer boundary by default (tenant-local collector); only aggregates and derived signals may cross the boundary, and only where configured. This addresses source-code-exposure and sovereignty concerns directly.</w:t>
      </w:r>
    </w:p>
    <w:p>
      <w:pPr>
        <w:spacing w:after="120"/>
      </w:pPr>
      <w:r>
        <w:rPr>
          <w:b w:val="false"/>
          <w:bCs w:val="false"/>
          <w:i w:val="false"/>
          <w:iCs w:val="false"/>
          <w:sz w:val="20"/>
          <w:szCs w:val="20"/>
        </w:rPr>
        <w:t xml:space="preserve">Data-subject rights: support access and erasure against collected feedback within the required window; because telemetry may contain identifiers, treat it as in scope for such requests by default.</w:t>
      </w:r>
    </w:p>
    <w:p>
      <w:pPr>
        <w:spacing w:after="120"/>
      </w:pPr>
      <w:r>
        <w:rPr>
          <w:b w:val="false"/>
          <w:bCs w:val="false"/>
          <w:i w:val="false"/>
          <w:iCs w:val="false"/>
          <w:sz w:val="20"/>
          <w:szCs w:val="20"/>
        </w:rPr>
        <w:t xml:space="preserve">Workforce monitoring: the loop must not function as developer surveillance. Feedback is about agent outputs, not developer productivity; involve works councils / employee representatives where required, and never derive individual performance metrics from the data.</w:t>
      </w:r>
    </w:p>
    <w:p>
      <w:pPr>
        <w:spacing w:after="120"/>
      </w:pPr>
      <w:r>
        <w:rPr>
          <w:b w:val="false"/>
          <w:bCs w:val="false"/>
          <w:i w:val="false"/>
          <w:iCs w:val="false"/>
          <w:sz w:val="20"/>
          <w:szCs w:val="20"/>
        </w:rPr>
        <w:t xml:space="preserve">Regulatory alignment: map the loop to EU AI Act deployer obligations, ISO/IEC 42001 (as an AI management-system control), NIST AI RMF (Measure/Manage), and OWASP ASI (data classification, secrets protection, memory poisoning). Retention is time-bounded and purged on withdrawal or engagement close.</w:t>
      </w:r>
    </w:p>
    <w:p>
      <w:pPr>
        <w:spacing w:after="120"/>
      </w:pPr>
      <w:r>
        <w:rPr>
          <w:b w:val="false"/>
          <w:bCs w:val="false"/>
          <w:i/>
          <w:iCs/>
          <w:sz w:val="20"/>
          <w:szCs w:val="20"/>
        </w:rPr>
        <w:t xml:space="preserve">Governance caveat: privacy classification is deployment-specific and requires qualified legal review. This section is evidence and design intent, not legal advice; the Phase 0 DPO gate (Section 20, DG-002) must clear before Phase 1.</w:t>
      </w:r>
    </w:p>
    <w:p>
      <w:pPr>
        <w:pStyle w:val="Heading1"/>
        <w:spacing w:after="140" w:before="280"/>
      </w:pPr>
      <w:r>
        <w:rPr>
          <w:b/>
          <w:bCs/>
          <w:color w:val="1F2A44"/>
          <w:sz w:val="26"/>
          <w:szCs w:val="26"/>
        </w:rPr>
        <w:t xml:space="preserve">15. The Feedback-to-Intelligence Model</w:t>
      </w:r>
    </w:p>
    <w:p>
      <w:pPr>
        <w:spacing w:after="120"/>
      </w:pPr>
      <w:r>
        <w:rPr>
          <w:b w:val="false"/>
          <w:bCs w:val="false"/>
          <w:i w:val="false"/>
          <w:iCs w:val="false"/>
          <w:sz w:val="20"/>
          <w:szCs w:val="20"/>
        </w:rPr>
        <w:t xml:space="preserve">The loop's value is what it produces, and every output plugs into an artifact AaraMinds already 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Intelligence output</w:t>
            </w:r>
          </w:p>
        </w:tc>
        <w:tc>
          <w:tcPr>
            <w:tcW w:type="dxa" w:w="67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How it is produced and where it plugs in</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Mined evaluation cases</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Recurring production failures are clustered and turned into golden cases appended to the agent's eval suite — directly strengthening the evaluation gate and letting eval-runs-pass reflect real behavior.</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Evidence-based rubric calibration</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Correlate readiness checks with real reviewer overrides to see which checks predict trouble; feed a versioned rubric change instead of tuning by opinion.</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Version comparison on outcomes</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Compare agent versions on accept and correction rates from real use, not only design-time scores.</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Operationalized SkillOps</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 real failure becomes a skill revision, a benchmark run, and a versioned release with before/after evidence — the PRD's Proof 4, now fed by production.</w:t>
            </w:r>
          </w:p>
        </w:tc>
      </w:tr>
      <w:tr>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Certification-drift alerts</w:t>
            </w:r>
          </w:p>
        </w:tc>
        <w:tc>
          <w:tcPr>
            <w:tcW w:type="dxa" w:w="6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Detect when a certified agent's real-world quality diverges from its certificate and trigger recalibration.</w:t>
            </w:r>
          </w:p>
        </w:tc>
      </w:tr>
    </w:tbl>
    <w:p>
      <w:pPr>
        <w:pStyle w:val="Heading1"/>
        <w:spacing w:after="140" w:before="280"/>
      </w:pPr>
      <w:r>
        <w:rPr>
          <w:b/>
          <w:bCs/>
          <w:color w:val="1F2A44"/>
          <w:sz w:val="26"/>
          <w:szCs w:val="26"/>
        </w:rPr>
        <w:t xml:space="preserve">16. Success Metrics and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60"/>
      </w:tblGrid>
      <w:tr>
        <w:trPr>
          <w:tblHeader/>
        </w:trPr>
        <w:tc>
          <w:tcPr>
            <w:tcW w:type="dxa" w:w="10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ID</w:t>
            </w:r>
          </w:p>
        </w:tc>
        <w:tc>
          <w:tcPr>
            <w:tcW w:type="dxa" w:w="26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Metric</w:t>
            </w:r>
          </w:p>
        </w:tc>
        <w:tc>
          <w:tcPr>
            <w:tcW w:type="dxa" w:w="57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Definition</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M-01</w:t>
            </w:r>
          </w:p>
        </w:tc>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Consented coverage</w:t>
            </w:r>
          </w:p>
        </w:tc>
        <w:tc>
          <w:tcPr>
            <w:tcW w:type="dxa" w:w="5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Share of agent interactions with valid, consented feedback capture. Baseline in pilot.</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M-02</w:t>
            </w:r>
          </w:p>
        </w:tc>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Draft acceptance rate</w:t>
            </w:r>
          </w:p>
        </w:tc>
        <w:tc>
          <w:tcPr>
            <w:tcW w:type="dxa" w:w="5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Share of agent drafts accepted without correction. Trend up over versions.</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M-03</w:t>
            </w:r>
          </w:p>
        </w:tc>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Correction rate / edit distance</w:t>
            </w:r>
          </w:p>
        </w:tc>
        <w:tc>
          <w:tcPr>
            <w:tcW w:type="dxa" w:w="5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How much humans change accepted drafts. Trend down.</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M-04</w:t>
            </w:r>
          </w:p>
        </w:tc>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Time-to-eval-case</w:t>
            </w:r>
          </w:p>
        </w:tc>
        <w:tc>
          <w:tcPr>
            <w:tcW w:type="dxa" w:w="5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Time from a recurring failure observed to a golden case added. Trend down.</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M-05</w:t>
            </w:r>
          </w:p>
        </w:tc>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Evidence-backed recalibrations</w:t>
            </w:r>
          </w:p>
        </w:tc>
        <w:tc>
          <w:tcPr>
            <w:tcW w:type="dxa" w:w="5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Rubric changes justified by real override data (count / quarter).</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M-06</w:t>
            </w:r>
          </w:p>
        </w:tc>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Certification freshness</w:t>
            </w:r>
          </w:p>
        </w:tc>
        <w:tc>
          <w:tcPr>
            <w:tcW w:type="dxa" w:w="5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Share of certified agents re-certified within the recalibration window.</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M-07</w:t>
            </w:r>
          </w:p>
        </w:tc>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Privacy integrity</w:t>
            </w:r>
          </w:p>
        </w:tc>
        <w:tc>
          <w:tcPr>
            <w:tcW w:type="dxa" w:w="5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Zero raw-code egress incidents; 100% of collection under recorded consent; DSAR fulfillment within window.</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M-08</w:t>
            </w:r>
          </w:p>
        </w:tc>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Agent improvement</w:t>
            </w:r>
          </w:p>
        </w:tc>
        <w:tc>
          <w:tcPr>
            <w:tcW w:type="dxa" w:w="57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Measured quality delta (M-02/M-03) between consecutive certified versions.</w:t>
            </w:r>
          </w:p>
        </w:tc>
      </w:tr>
    </w:tbl>
    <w:p>
      <w:pPr>
        <w:pStyle w:val="Heading1"/>
        <w:spacing w:after="140" w:before="280"/>
      </w:pPr>
      <w:r>
        <w:rPr>
          <w:b/>
          <w:bCs/>
          <w:color w:val="1F2A44"/>
          <w:sz w:val="26"/>
          <w:szCs w:val="26"/>
        </w:rPr>
        <w:t xml:space="preserve">17.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4860"/>
      </w:tblGrid>
      <w:tr>
        <w:trPr>
          <w:tblHeader/>
        </w:trPr>
        <w:tc>
          <w:tcPr>
            <w:tcW w:type="dxa" w:w="27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Phase</w:t>
            </w:r>
          </w:p>
        </w:tc>
        <w:tc>
          <w:tcPr>
            <w:tcW w:type="dxa" w:w="18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Indicative duration</w:t>
            </w:r>
          </w:p>
        </w:tc>
        <w:tc>
          <w:tcPr>
            <w:tcW w:type="dxa" w:w="48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Primary outcome</w:t>
            </w:r>
          </w:p>
        </w:tc>
      </w:tr>
      <w:tr>
        <w:tc>
          <w:tcPr>
            <w:tcW w:type="dxa" w:w="27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Phase 0: Validation &amp; legal gate</w:t>
            </w:r>
          </w:p>
        </w:tc>
        <w:tc>
          <w:tcPr>
            <w:tcW w:type="dxa" w:w="1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2-3 weeks</w:t>
            </w:r>
          </w:p>
        </w:tc>
        <w:tc>
          <w:tcPr>
            <w:tcW w:type="dxa" w:w="48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Stakeholder validation, DPO/legal sign-off on lawful basis and residency (DG-002), build-vs-buy decision (DG-001), packaging decision (DG-003). Funding for Phase 1 is contingent on this exit.</w:t>
            </w:r>
          </w:p>
        </w:tc>
      </w:tr>
      <w:tr>
        <w:tc>
          <w:tcPr>
            <w:tcW w:type="dxa" w:w="27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Phase 1: Privacy-first MVP</w:t>
            </w:r>
          </w:p>
        </w:tc>
        <w:tc>
          <w:tcPr>
            <w:tcW w:type="dxa" w:w="1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4-6 weeks</w:t>
            </w:r>
          </w:p>
        </w:tc>
        <w:tc>
          <w:tcPr>
            <w:tcW w:type="dxa" w:w="48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Feedback event schema, source-side redaction, one tenant-local pipeline, eval-case miner, consent + DSAR posture; integrated with an adopted eval backend.</w:t>
            </w:r>
          </w:p>
        </w:tc>
      </w:tr>
      <w:tr>
        <w:tc>
          <w:tcPr>
            <w:tcW w:type="dxa" w:w="27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Phase 2: Governed intelligence</w:t>
            </w:r>
          </w:p>
        </w:tc>
        <w:tc>
          <w:tcPr>
            <w:tcW w:type="dxa" w:w="1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6-8 weeks</w:t>
            </w:r>
          </w:p>
        </w:tc>
        <w:tc>
          <w:tcPr>
            <w:tcW w:type="dxa" w:w="48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Evidence-based rubric calibration and version A/B on real outcomes; certification recalibration cadence.</w:t>
            </w:r>
          </w:p>
        </w:tc>
      </w:tr>
      <w:tr>
        <w:tc>
          <w:tcPr>
            <w:tcW w:type="dxa" w:w="27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Phase 3: IDE surfaces</w:t>
            </w:r>
          </w:p>
        </w:tc>
        <w:tc>
          <w:tcPr>
            <w:tcW w:type="dxa" w:w="1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6-10 weeks</w:t>
            </w:r>
          </w:p>
        </w:tc>
        <w:tc>
          <w:tcPr>
            <w:tcW w:type="dxa" w:w="48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Thin VSCode and JetBrains feedback extensions; agent-status display; broader capture.</w:t>
            </w:r>
          </w:p>
        </w:tc>
      </w:tr>
      <w:tr>
        <w:tc>
          <w:tcPr>
            <w:tcW w:type="dxa" w:w="27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Phase 4: Continuous-certification capability</w:t>
            </w:r>
          </w:p>
        </w:tc>
        <w:tc>
          <w:tcPr>
            <w:tcW w:type="dxa" w:w="18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12+ weeks</w:t>
            </w:r>
          </w:p>
        </w:tc>
        <w:tc>
          <w:tcPr>
            <w:tcW w:type="dxa" w:w="48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Certification-drift alerting, dashboards, and optional productization as a sellable capability.</w:t>
            </w:r>
          </w:p>
        </w:tc>
      </w:tr>
    </w:tbl>
    <w:p>
      <w:pPr>
        <w:pStyle w:val="Heading1"/>
        <w:spacing w:after="140" w:before="280"/>
      </w:pPr>
      <w:r>
        <w:rPr>
          <w:b/>
          <w:bCs/>
          <w:color w:val="1F2A44"/>
          <w:sz w:val="26"/>
          <w:szCs w:val="26"/>
        </w:rPr>
        <w:t xml:space="preserve">18. Decision Gates and Open Questions</w:t>
      </w:r>
    </w:p>
    <w:p>
      <w:pPr>
        <w:spacing w:after="120"/>
      </w:pPr>
      <w:r>
        <w:rPr>
          <w:b w:val="false"/>
          <w:bCs w:val="false"/>
          <w:i w:val="false"/>
          <w:iCs w:val="false"/>
          <w:sz w:val="20"/>
          <w:szCs w:val="20"/>
        </w:rPr>
        <w:t xml:space="preserve">These gates must be decided at Phase 0 exit; Phase 1 is not funded until they clear.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660"/>
      </w:tblGrid>
      <w:tr>
        <w:trPr>
          <w:tblHeader/>
        </w:trPr>
        <w:tc>
          <w:tcPr>
            <w:tcW w:type="dxa" w:w="11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ID</w:t>
            </w:r>
          </w:p>
        </w:tc>
        <w:tc>
          <w:tcPr>
            <w:tcW w:type="dxa" w:w="26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Decision</w:t>
            </w:r>
          </w:p>
        </w:tc>
        <w:tc>
          <w:tcPr>
            <w:tcW w:type="dxa" w:w="56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Why it gates the program</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DG-001</w:t>
            </w:r>
          </w:p>
        </w:tc>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Build vs. buy the backend</w:t>
            </w:r>
          </w:p>
        </w:tc>
        <w:tc>
          <w:tcPr>
            <w:tcW w:type="dxa" w:w="56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Adopt an evaluation/observability backend (Braintrust, Langfuse, Databricks) vs. build. Changes cost, timeline, and where the differentiator sits.</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DG-002</w:t>
            </w:r>
          </w:p>
        </w:tc>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Privacy posture &amp; residency</w:t>
            </w:r>
          </w:p>
        </w:tc>
        <w:tc>
          <w:tcPr>
            <w:tcW w:type="dxa" w:w="56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Lawful basis, consent model, tenant-local vs. central, works-council posture. Carries the GDPR / source-code-exposure risk; DPO/legal sign-off required.</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DG-003</w:t>
            </w:r>
          </w:p>
        </w:tc>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Internal tool vs. product</w:t>
            </w:r>
          </w:p>
        </w:tc>
        <w:tc>
          <w:tcPr>
            <w:tcW w:type="dxa" w:w="56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Improve AaraMinds' own agents, or a sellable continuous-certification capability. Changes multi-tenancy and packaging.</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DG-004</w:t>
            </w:r>
          </w:p>
        </w:tc>
        <w:tc>
          <w:tcPr>
            <w:tcW w:type="dxa" w:w="26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IDE-extension scope</w:t>
            </w:r>
          </w:p>
        </w:tc>
        <w:tc>
          <w:tcPr>
            <w:tcW w:type="dxa" w:w="56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VSCode only, plus IntelliJ, or runtime-layer capture first with a thin extension later. A real effort tradeoff.</w:t>
            </w:r>
          </w:p>
        </w:tc>
      </w:tr>
    </w:tbl>
    <w:p>
      <w:pPr>
        <w:pStyle w:val="Heading2"/>
        <w:spacing w:after="100" w:before="200"/>
      </w:pPr>
      <w:r>
        <w:rPr>
          <w:b/>
          <w:bCs/>
          <w:color w:val="1F2A44"/>
          <w:sz w:val="22"/>
          <w:szCs w:val="22"/>
        </w:rPr>
        <w:t xml:space="preserve">18.1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ID</w:t>
            </w:r>
          </w:p>
        </w:tc>
        <w:tc>
          <w:tcPr>
            <w:tcW w:type="dxa" w:w="82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Question</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OQ-01</w:t>
            </w:r>
          </w:p>
        </w:tc>
        <w:tc>
          <w:tcPr>
            <w:tcW w:type="dxa" w:w="82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Which evaluation/observability backend best fits AaraMinds' governance and Azure posture?</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OQ-02</w:t>
            </w:r>
          </w:p>
        </w:tc>
        <w:tc>
          <w:tcPr>
            <w:tcW w:type="dxa" w:w="82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What is the minimum consented signal set that yields useful eval-case mining?</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OQ-03</w:t>
            </w:r>
          </w:p>
        </w:tc>
        <w:tc>
          <w:tcPr>
            <w:tcW w:type="dxa" w:w="82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What retention window and aggregation threshold satisfy both privacy and analytics needs?</w:t>
            </w:r>
          </w:p>
        </w:tc>
      </w:tr>
      <w:tr>
        <w:tc>
          <w:tcPr>
            <w:tcW w:type="dxa" w:w="11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OQ-04</w:t>
            </w:r>
          </w:p>
        </w:tc>
        <w:tc>
          <w:tcPr>
            <w:tcW w:type="dxa" w:w="82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Which agent (or pack) is the pilot for the loop, and what is its baseline accept/correction rate?</w:t>
            </w:r>
          </w:p>
        </w:tc>
      </w:tr>
    </w:tbl>
    <w:p>
      <w:pPr>
        <w:pStyle w:val="Heading1"/>
        <w:spacing w:after="140" w:before="280"/>
      </w:pPr>
      <w:r>
        <w:rPr>
          <w:b/>
          <w:bCs/>
          <w:color w:val="1F2A44"/>
          <w:sz w:val="26"/>
          <w:szCs w:val="26"/>
        </w:rPr>
        <w:t xml:space="preserve">19.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400"/>
        <w:gridCol w:w="4960"/>
      </w:tblGrid>
      <w:tr>
        <w:trPr>
          <w:tblHeader/>
        </w:trPr>
        <w:tc>
          <w:tcPr>
            <w:tcW w:type="dxa" w:w="10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Risk ID</w:t>
            </w:r>
          </w:p>
        </w:tc>
        <w:tc>
          <w:tcPr>
            <w:tcW w:type="dxa" w:w="34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Risk</w:t>
            </w:r>
          </w:p>
        </w:tc>
        <w:tc>
          <w:tcPr>
            <w:tcW w:type="dxa" w:w="49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Mitigation</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R-01</w:t>
            </w:r>
          </w:p>
        </w:tc>
        <w:tc>
          <w:tcPr>
            <w:tcW w:type="dxa" w:w="3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Privacy / GDPR exposure</w:t>
            </w:r>
          </w:p>
        </w:tc>
        <w:tc>
          <w:tcPr>
            <w:tcW w:type="dxa" w:w="49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Consent before collection, lawful basis documented, DSAR/erasure supported, redaction at source, DPO gate (DG-002) before Phase 1.</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R-02</w:t>
            </w:r>
          </w:p>
        </w:tc>
        <w:tc>
          <w:tcPr>
            <w:tcW w:type="dxa" w:w="3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Source-code exposure</w:t>
            </w:r>
          </w:p>
        </w:tc>
        <w:tc>
          <w:tcPr>
            <w:tcW w:type="dxa" w:w="49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Hash-and-reference only; no raw code egress; tenant-local residency; security review of the pipeline.</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R-03</w:t>
            </w:r>
          </w:p>
        </w:tc>
        <w:tc>
          <w:tcPr>
            <w:tcW w:type="dxa" w:w="3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Workforce-monitoring backlash</w:t>
            </w:r>
          </w:p>
        </w:tc>
        <w:tc>
          <w:tcPr>
            <w:tcW w:type="dxa" w:w="49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Feedback is about agent outputs, not developer performance; no individual metrics; involve works councils where required.</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R-04</w:t>
            </w:r>
          </w:p>
        </w:tc>
        <w:tc>
          <w:tcPr>
            <w:tcW w:type="dxa" w:w="3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Brand inconsistency</w:t>
            </w:r>
          </w:p>
        </w:tc>
        <w:tc>
          <w:tcPr>
            <w:tcW w:type="dxa" w:w="49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The loop is built to the same governance bar as the agents; privacy-by-design is a hard requirement, not optional.</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R-05</w:t>
            </w:r>
          </w:p>
        </w:tc>
        <w:tc>
          <w:tcPr>
            <w:tcW w:type="dxa" w:w="3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Build-vs-buy lock-in</w:t>
            </w:r>
          </w:p>
        </w:tc>
        <w:tc>
          <w:tcPr>
            <w:tcW w:type="dxa" w:w="49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Adopt a backend behind an abstraction; keep telemetry standards-based (OTel) so the backend is swappable.</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R-06</w:t>
            </w:r>
          </w:p>
        </w:tc>
        <w:tc>
          <w:tcPr>
            <w:tcW w:type="dxa" w:w="3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Low adoption / consent</w:t>
            </w:r>
          </w:p>
        </w:tc>
        <w:tc>
          <w:tcPr>
            <w:tcW w:type="dxa" w:w="49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Make value visible to developers (better agents), keep capture frictionless and transparent, opt-in with clear benefit.</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R-07</w:t>
            </w:r>
          </w:p>
        </w:tc>
        <w:tc>
          <w:tcPr>
            <w:tcW w:type="dxa" w:w="3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Poor data quality</w:t>
            </w:r>
          </w:p>
        </w:tc>
        <w:tc>
          <w:tcPr>
            <w:tcW w:type="dxa" w:w="49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Start with high-signal explicit feedback (accept/reject/edit); validate mined cases before they affect certification.</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R-08</w:t>
            </w:r>
          </w:p>
        </w:tc>
        <w:tc>
          <w:tcPr>
            <w:tcW w:type="dxa" w:w="3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Over-autonomy</w:t>
            </w:r>
          </w:p>
        </w:tc>
        <w:tc>
          <w:tcPr>
            <w:tcW w:type="dxa" w:w="49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Humans decide agent changes; the loop only produces evidence; no autonomous modification or deploy.</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R-09</w:t>
            </w:r>
          </w:p>
        </w:tc>
        <w:tc>
          <w:tcPr>
            <w:tcW w:type="dxa" w:w="3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Scope creep into a proxy</w:t>
            </w:r>
          </w:p>
        </w:tc>
        <w:tc>
          <w:tcPr>
            <w:tcW w:type="dxa" w:w="49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Explicit out-of-scope of MITM proxy and raw-data centralization; architecture emits events, not intercepts traffic.</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R-10</w:t>
            </w:r>
          </w:p>
        </w:tc>
        <w:tc>
          <w:tcPr>
            <w:tcW w:type="dxa" w:w="34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Standards churn</w:t>
            </w:r>
          </w:p>
        </w:tc>
        <w:tc>
          <w:tcPr>
            <w:tcW w:type="dxa" w:w="49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OTel GenAI conventions still evolving; isolate telemetry mapping behind adapters and track the spec.</w:t>
            </w:r>
          </w:p>
        </w:tc>
      </w:tr>
    </w:tbl>
    <w:p>
      <w:pPr>
        <w:pStyle w:val="Heading1"/>
        <w:spacing w:after="140" w:before="280"/>
      </w:pPr>
      <w:r>
        <w:rPr>
          <w:b/>
          <w:bCs/>
          <w:color w:val="1F2A44"/>
          <w:sz w:val="26"/>
          <w:szCs w:val="26"/>
        </w:rPr>
        <w:t xml:space="preserve">20.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ID</w:t>
            </w:r>
          </w:p>
        </w:tc>
        <w:tc>
          <w:tcPr>
            <w:tcW w:type="dxa" w:w="83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Acceptance criterion (testable)</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AC-01</w:t>
            </w:r>
          </w:p>
        </w:tc>
        <w:tc>
          <w:tcPr>
            <w:tcW w:type="dxa" w:w="8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No feedback event is collected without a recorded consent grant; withdrawal stops collection and enables erasure.</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AC-02</w:t>
            </w:r>
          </w:p>
        </w:tc>
        <w:tc>
          <w:tcPr>
            <w:tcW w:type="dxa" w:w="8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No raw source code, prompt, or completion leaves the developer environment; only hashes and derived signals are transmitted (verified by pipeline inspection).</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AC-03</w:t>
            </w:r>
          </w:p>
        </w:tc>
        <w:tc>
          <w:tcPr>
            <w:tcW w:type="dxa" w:w="8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Secret/PII scrubbing runs at source and fails closed; a scrubbing failure blocks collection.</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AC-04</w:t>
            </w:r>
          </w:p>
        </w:tc>
        <w:tc>
          <w:tcPr>
            <w:tcW w:type="dxa" w:w="8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Raw telemetry remains tenant-local by default; only configured aggregates cross the boundary.</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AC-05</w:t>
            </w:r>
          </w:p>
        </w:tc>
        <w:tc>
          <w:tcPr>
            <w:tcW w:type="dxa" w:w="8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 recurring production failure is mined into a schema-valid golden case appended to the agent's eval suite.</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AC-06</w:t>
            </w:r>
          </w:p>
        </w:tc>
        <w:tc>
          <w:tcPr>
            <w:tcW w:type="dxa" w:w="8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 rubric change is produced with cited real-override evidence (not opinion).</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AC-07</w:t>
            </w:r>
          </w:p>
        </w:tc>
        <w:tc>
          <w:tcPr>
            <w:tcW w:type="dxa" w:w="8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Two agent versions are compared on real accept/correction outcomes.</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AC-08</w:t>
            </w:r>
          </w:p>
        </w:tc>
        <w:tc>
          <w:tcPr>
            <w:tcW w:type="dxa" w:w="8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 data-subject access and erasure request against collected feedback is fulfilled within the required window.</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AC-09</w:t>
            </w:r>
          </w:p>
        </w:tc>
        <w:tc>
          <w:tcPr>
            <w:tcW w:type="dxa" w:w="8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Admin can pause collection globally and per agent, and purge collected data.</w:t>
            </w:r>
          </w:p>
        </w:tc>
      </w:tr>
      <w:tr>
        <w:tc>
          <w:tcPr>
            <w:tcW w:type="dxa" w:w="1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AC-10</w:t>
            </w:r>
          </w:p>
        </w:tc>
        <w:tc>
          <w:tcPr>
            <w:tcW w:type="dxa" w:w="83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All telemetry uses OpenTelemetry GenAI conventions; no bespoke wire protocol is introduced.</w:t>
            </w:r>
          </w:p>
        </w:tc>
      </w:tr>
    </w:tbl>
    <w:p>
      <w:pPr>
        <w:pStyle w:val="Heading1"/>
        <w:spacing w:after="140" w:before="280"/>
      </w:pPr>
      <w:r>
        <w:rPr>
          <w:b/>
          <w:bCs/>
          <w:color w:val="1F2A44"/>
          <w:sz w:val="26"/>
          <w:szCs w:val="26"/>
        </w:rPr>
        <w:t xml:space="preserve">21. Dependencies and Assumptions</w:t>
      </w:r>
    </w:p>
    <w:p>
      <w:pPr>
        <w:pStyle w:val="Heading2"/>
        <w:spacing w:after="100" w:before="200"/>
      </w:pPr>
      <w:r>
        <w:rPr>
          <w:b/>
          <w:bCs/>
          <w:color w:val="1F2A44"/>
          <w:sz w:val="22"/>
          <w:szCs w:val="22"/>
        </w:rPr>
        <w:t xml:space="preserve">21.1 Assumptions</w:t>
      </w:r>
    </w:p>
    <w:p>
      <w:pPr>
        <w:pStyle w:val="ListParagraph"/>
        <w:numPr>
          <w:ilvl w:val="0"/>
          <w:numId w:val="2"/>
        </w:numPr>
        <w:spacing w:after="60"/>
      </w:pPr>
      <w:r>
        <w:rPr>
          <w:sz w:val="20"/>
          <w:szCs w:val="20"/>
        </w:rPr>
        <w:t xml:space="preserve">AaraMinds continues to prioritize governed, evidence-based agents over raw autonomy.</w:t>
      </w:r>
    </w:p>
    <w:p>
      <w:pPr>
        <w:pStyle w:val="ListParagraph"/>
        <w:numPr>
          <w:ilvl w:val="0"/>
          <w:numId w:val="2"/>
        </w:numPr>
        <w:spacing w:after="60"/>
      </w:pPr>
      <w:r>
        <w:rPr>
          <w:sz w:val="20"/>
          <w:szCs w:val="20"/>
        </w:rPr>
        <w:t xml:space="preserve">The agent runtime can emit OTel GenAI spans and feedback events (the platform already does).</w:t>
      </w:r>
    </w:p>
    <w:p>
      <w:pPr>
        <w:pStyle w:val="ListParagraph"/>
        <w:numPr>
          <w:ilvl w:val="0"/>
          <w:numId w:val="2"/>
        </w:numPr>
        <w:spacing w:after="60"/>
      </w:pPr>
      <w:r>
        <w:rPr>
          <w:sz w:val="20"/>
          <w:szCs w:val="20"/>
        </w:rPr>
        <w:t xml:space="preserve">Enterprise customers require tenant-local data residency and a documented privacy posture.</w:t>
      </w:r>
    </w:p>
    <w:p>
      <w:pPr>
        <w:pStyle w:val="ListParagraph"/>
        <w:numPr>
          <w:ilvl w:val="0"/>
          <w:numId w:val="2"/>
        </w:numPr>
        <w:spacing w:after="60"/>
      </w:pPr>
      <w:r>
        <w:rPr>
          <w:sz w:val="20"/>
          <w:szCs w:val="20"/>
        </w:rPr>
        <w:t xml:space="preserve">Humans remain in the loop for all agent changes; the feedback loop produces evidence, not decisions.</w:t>
      </w:r>
    </w:p>
    <w:p>
      <w:pPr>
        <w:pStyle w:val="Heading2"/>
        <w:spacing w:after="100" w:before="200"/>
      </w:pPr>
      <w:r>
        <w:rPr>
          <w:b/>
          <w:bCs/>
          <w:color w:val="1F2A44"/>
          <w:sz w:val="22"/>
          <w:szCs w:val="22"/>
        </w:rPr>
        <w:t xml:space="preserve">21.2 Dependencies</w:t>
      </w:r>
    </w:p>
    <w:p>
      <w:pPr>
        <w:pStyle w:val="ListParagraph"/>
        <w:numPr>
          <w:ilvl w:val="0"/>
          <w:numId w:val="2"/>
        </w:numPr>
        <w:spacing w:after="60"/>
      </w:pPr>
      <w:r>
        <w:rPr>
          <w:sz w:val="20"/>
          <w:szCs w:val="20"/>
        </w:rPr>
        <w:t xml:space="preserve">DPO / legal sign-off on lawful basis, consent, and residency (DG-002).</w:t>
      </w:r>
    </w:p>
    <w:p>
      <w:pPr>
        <w:pStyle w:val="ListParagraph"/>
        <w:numPr>
          <w:ilvl w:val="0"/>
          <w:numId w:val="2"/>
        </w:numPr>
        <w:spacing w:after="60"/>
      </w:pPr>
      <w:r>
        <w:rPr>
          <w:sz w:val="20"/>
          <w:szCs w:val="20"/>
        </w:rPr>
        <w:t xml:space="preserve">Chosen evaluation/observability backend to adopt (DG-001).</w:t>
      </w:r>
    </w:p>
    <w:p>
      <w:pPr>
        <w:pStyle w:val="ListParagraph"/>
        <w:numPr>
          <w:ilvl w:val="0"/>
          <w:numId w:val="2"/>
        </w:numPr>
        <w:spacing w:after="60"/>
      </w:pPr>
      <w:r>
        <w:rPr>
          <w:sz w:val="20"/>
          <w:szCs w:val="20"/>
        </w:rPr>
        <w:t xml:space="preserve">Enterprise IdP and least-privilege identities for collectors.</w:t>
      </w:r>
    </w:p>
    <w:p>
      <w:pPr>
        <w:pStyle w:val="ListParagraph"/>
        <w:numPr>
          <w:ilvl w:val="0"/>
          <w:numId w:val="2"/>
        </w:numPr>
        <w:spacing w:after="60"/>
      </w:pPr>
      <w:r>
        <w:rPr>
          <w:sz w:val="20"/>
          <w:szCs w:val="20"/>
        </w:rPr>
        <w:t xml:space="preserve">The existing eval-run schema and readiness rubric as the integration points for mined cases and calibration.</w:t>
      </w:r>
    </w:p>
    <w:p>
      <w:pPr>
        <w:pStyle w:val="ListParagraph"/>
        <w:numPr>
          <w:ilvl w:val="0"/>
          <w:numId w:val="2"/>
        </w:numPr>
        <w:spacing w:after="60"/>
      </w:pPr>
      <w:r>
        <w:rPr>
          <w:sz w:val="20"/>
          <w:szCs w:val="20"/>
        </w:rPr>
        <w:t xml:space="preserve">A pilot agent (or pack) with a measurable baseline (OQ-04).</w:t>
      </w:r>
    </w:p>
    <w:p>
      <w:pPr>
        <w:pStyle w:val="Heading1"/>
        <w:spacing w:after="140" w:before="280"/>
      </w:pPr>
      <w:r>
        <w:rPr>
          <w:b/>
          <w:bCs/>
          <w:color w:val="1F2A44"/>
          <w:sz w:val="26"/>
          <w:szCs w:val="26"/>
        </w:rPr>
        <w:t xml:space="preserve">22. Recommended Technology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Area</w:t>
            </w:r>
          </w:p>
        </w:tc>
        <w:tc>
          <w:tcPr>
            <w:tcW w:type="dxa" w:w="71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Recommendation</w:t>
            </w:r>
          </w:p>
        </w:tc>
      </w:tr>
      <w:tr>
        <w:tc>
          <w:tcPr>
            <w:tcW w:type="dxa" w:w="2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Telemetry</w:t>
            </w:r>
          </w:p>
        </w:tc>
        <w:tc>
          <w:tcPr>
            <w:tcW w:type="dxa" w:w="7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OpenTelemetry GenAI semantic conventions; reuse the platform's hash-and-reference payload mode.</w:t>
            </w:r>
          </w:p>
        </w:tc>
      </w:tr>
      <w:tr>
        <w:tc>
          <w:tcPr>
            <w:tcW w:type="dxa" w:w="2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Transport / ingest</w:t>
            </w:r>
          </w:p>
        </w:tc>
        <w:tc>
          <w:tcPr>
            <w:tcW w:type="dxa" w:w="7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OTLP to an OpenTelemetry Collector; tenant-local deployment by default.</w:t>
            </w:r>
          </w:p>
        </w:tc>
      </w:tr>
      <w:tr>
        <w:tc>
          <w:tcPr>
            <w:tcW w:type="dxa" w:w="2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Backend</w:t>
            </w:r>
          </w:p>
        </w:tc>
        <w:tc>
          <w:tcPr>
            <w:tcW w:type="dxa" w:w="7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Adopt a best-of-breed evaluation/observability backend (evaluate Braintrust, Langfuse, Databricks against governance and Azure fit); do not build.</w:t>
            </w:r>
          </w:p>
        </w:tc>
      </w:tr>
      <w:tr>
        <w:tc>
          <w:tcPr>
            <w:tcW w:type="dxa" w:w="2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Governed loop</w:t>
            </w:r>
          </w:p>
        </w:tc>
        <w:tc>
          <w:tcPr>
            <w:tcW w:type="dxa" w:w="7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Build in Go on the platform control plane; eval-case miner and calibration tie to the existing eval-run schema and readiness rubric.</w:t>
            </w:r>
          </w:p>
        </w:tc>
      </w:tr>
      <w:tr>
        <w:tc>
          <w:tcPr>
            <w:tcW w:type="dxa" w:w="2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Redaction</w:t>
            </w:r>
          </w:p>
        </w:tc>
        <w:tc>
          <w:tcPr>
            <w:tcW w:type="dxa" w:w="7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Source-side secret/PII scrubbing and hashing; fail closed.</w:t>
            </w:r>
          </w:p>
        </w:tc>
      </w:tr>
      <w:tr>
        <w:tc>
          <w:tcPr>
            <w:tcW w:type="dxa" w:w="2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Identity</w:t>
            </w:r>
          </w:p>
        </w:tc>
        <w:tc>
          <w:tcPr>
            <w:tcW w:type="dxa" w:w="7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Enterprise IdP; least-privilege managed identities per collector; no shared secrets.</w:t>
            </w:r>
          </w:p>
        </w:tc>
      </w:tr>
      <w:tr>
        <w:tc>
          <w:tcPr>
            <w:tcW w:type="dxa" w:w="2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IDE surfaces</w:t>
            </w:r>
          </w:p>
        </w:tc>
        <w:tc>
          <w:tcPr>
            <w:tcW w:type="dxa" w:w="7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Thin VSCode and JetBrains extensions (later phase); capture at the runtime layer first.</w:t>
            </w:r>
          </w:p>
        </w:tc>
      </w:tr>
      <w:tr>
        <w:tc>
          <w:tcPr>
            <w:tcW w:type="dxa" w:w="22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Deployment</w:t>
            </w:r>
          </w:p>
        </w:tc>
        <w:tc>
          <w:tcPr>
            <w:tcW w:type="dxa" w:w="71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Azure-first, tenant-local collectors; GitHub Actions with OIDC; Terraform AzureRM; Key Vault via managed identity.</w:t>
            </w:r>
          </w:p>
        </w:tc>
      </w:tr>
    </w:tbl>
    <w:p>
      <w:pPr>
        <w:pStyle w:val="Heading1"/>
        <w:spacing w:after="140" w:before="280"/>
      </w:pPr>
      <w:r>
        <w:rPr>
          <w:b/>
          <w:bCs/>
          <w:color w:val="1F2A44"/>
          <w:sz w:val="26"/>
          <w:szCs w:val="26"/>
        </w:rPr>
        <w:t xml:space="preserve">23. Ownership Model (RACI)</w:t>
      </w:r>
    </w:p>
    <w:p>
      <w:pPr>
        <w:spacing w:after="120"/>
      </w:pPr>
      <w:r>
        <w:rPr>
          <w:b w:val="false"/>
          <w:bCs w:val="false"/>
          <w:i w:val="false"/>
          <w:iCs w:val="false"/>
          <w:sz w:val="20"/>
          <w:szCs w:val="20"/>
        </w:rPr>
        <w:t xml:space="preserve">R = Responsible, A = Accountable, C = Consulted, I = Informed.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300"/>
        <w:gridCol w:w="1900"/>
        <w:gridCol w:w="1860"/>
      </w:tblGrid>
      <w:tr>
        <w:trPr>
          <w:tblHeader/>
        </w:trPr>
        <w:tc>
          <w:tcPr>
            <w:tcW w:type="dxa" w:w="30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Activity</w:t>
            </w:r>
          </w:p>
        </w:tc>
        <w:tc>
          <w:tcPr>
            <w:tcW w:type="dxa" w:w="13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R</w:t>
            </w:r>
          </w:p>
        </w:tc>
        <w:tc>
          <w:tcPr>
            <w:tcW w:type="dxa" w:w="13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A</w:t>
            </w:r>
          </w:p>
        </w:tc>
        <w:tc>
          <w:tcPr>
            <w:tcW w:type="dxa" w:w="190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C</w:t>
            </w:r>
          </w:p>
        </w:tc>
        <w:tc>
          <w:tcPr>
            <w:tcW w:type="dxa" w:w="1860"/>
            <w:tcBorders>
              <w:top w:val="single" w:color="B8C7CC" w:sz="4"/>
              <w:left w:val="single" w:color="B8C7CC" w:sz="4"/>
              <w:bottom w:val="single" w:color="B8C7CC" w:sz="4"/>
              <w:right w:val="single" w:color="B8C7CC" w:sz="4"/>
            </w:tcBorders>
            <w:shd w:fill="1F2A44" w:val="clear"/>
            <w:tcMar>
              <w:top w:type="dxa" w:w="80"/>
              <w:left w:type="dxa" w:w="120"/>
              <w:bottom w:type="dxa" w:w="80"/>
              <w:right w:type="dxa" w:w="120"/>
            </w:tcMar>
          </w:tcPr>
          <w:p>
            <w:pPr>
              <w:spacing w:after="40"/>
            </w:pPr>
            <w:r>
              <w:rPr>
                <w:b/>
                <w:bCs/>
                <w:color w:val="FFFFFF"/>
                <w:sz w:val="18"/>
                <w:szCs w:val="18"/>
              </w:rPr>
              <w:t xml:space="preserve">I</w:t>
            </w:r>
          </w:p>
        </w:tc>
      </w:tr>
      <w:tr>
        <w:tc>
          <w:tcPr>
            <w:tcW w:type="dxa" w:w="3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Feedback schema &amp; pipeline</w:t>
            </w:r>
          </w:p>
        </w:tc>
        <w:tc>
          <w:tcPr>
            <w:tcW w:type="dxa" w:w="1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ENG</w:t>
            </w:r>
          </w:p>
        </w:tc>
        <w:tc>
          <w:tcPr>
            <w:tcW w:type="dxa" w:w="1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Platform PO</w:t>
            </w:r>
          </w:p>
        </w:tc>
        <w:tc>
          <w:tcPr>
            <w:tcW w:type="dxa" w:w="1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SEC, DPO</w:t>
            </w:r>
          </w:p>
        </w:tc>
        <w:tc>
          <w:tcPr>
            <w:tcW w:type="dxa" w:w="18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VP</w:t>
            </w:r>
          </w:p>
        </w:tc>
      </w:tr>
      <w:tr>
        <w:tc>
          <w:tcPr>
            <w:tcW w:type="dxa" w:w="3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Privacy posture &amp; consent</w:t>
            </w:r>
          </w:p>
        </w:tc>
        <w:tc>
          <w:tcPr>
            <w:tcW w:type="dxa" w:w="1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DPO</w:t>
            </w:r>
          </w:p>
        </w:tc>
        <w:tc>
          <w:tcPr>
            <w:tcW w:type="dxa" w:w="1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DPO</w:t>
            </w:r>
          </w:p>
        </w:tc>
        <w:tc>
          <w:tcPr>
            <w:tcW w:type="dxa" w:w="1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SEC, Legal</w:t>
            </w:r>
          </w:p>
        </w:tc>
        <w:tc>
          <w:tcPr>
            <w:tcW w:type="dxa" w:w="18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VP, ENG</w:t>
            </w:r>
          </w:p>
        </w:tc>
      </w:tr>
      <w:tr>
        <w:tc>
          <w:tcPr>
            <w:tcW w:type="dxa" w:w="3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Redaction &amp; residency</w:t>
            </w:r>
          </w:p>
        </w:tc>
        <w:tc>
          <w:tcPr>
            <w:tcW w:type="dxa" w:w="1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SEC</w:t>
            </w:r>
          </w:p>
        </w:tc>
        <w:tc>
          <w:tcPr>
            <w:tcW w:type="dxa" w:w="1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SEC</w:t>
            </w:r>
          </w:p>
        </w:tc>
        <w:tc>
          <w:tcPr>
            <w:tcW w:type="dxa" w:w="1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ENG, DPO</w:t>
            </w:r>
          </w:p>
        </w:tc>
        <w:tc>
          <w:tcPr>
            <w:tcW w:type="dxa" w:w="18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Platform PO</w:t>
            </w:r>
          </w:p>
        </w:tc>
      </w:tr>
      <w:tr>
        <w:tc>
          <w:tcPr>
            <w:tcW w:type="dxa" w:w="3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Eval-case mining &amp; calibration</w:t>
            </w:r>
          </w:p>
        </w:tc>
        <w:tc>
          <w:tcPr>
            <w:tcW w:type="dxa" w:w="1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ENG</w:t>
            </w:r>
          </w:p>
        </w:tc>
        <w:tc>
          <w:tcPr>
            <w:tcW w:type="dxa" w:w="1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Platform PO</w:t>
            </w:r>
          </w:p>
        </w:tc>
        <w:tc>
          <w:tcPr>
            <w:tcW w:type="dxa" w:w="1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Agent owners</w:t>
            </w:r>
          </w:p>
        </w:tc>
        <w:tc>
          <w:tcPr>
            <w:tcW w:type="dxa" w:w="18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VP</w:t>
            </w:r>
          </w:p>
        </w:tc>
      </w:tr>
      <w:tr>
        <w:tc>
          <w:tcPr>
            <w:tcW w:type="dxa" w:w="3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Backend adoption (DG-001)</w:t>
            </w:r>
          </w:p>
        </w:tc>
        <w:tc>
          <w:tcPr>
            <w:tcW w:type="dxa" w:w="1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Platform PO</w:t>
            </w:r>
          </w:p>
        </w:tc>
        <w:tc>
          <w:tcPr>
            <w:tcW w:type="dxa" w:w="1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VP</w:t>
            </w:r>
          </w:p>
        </w:tc>
        <w:tc>
          <w:tcPr>
            <w:tcW w:type="dxa" w:w="1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ENG, SEC</w:t>
            </w:r>
          </w:p>
        </w:tc>
        <w:tc>
          <w:tcPr>
            <w:tcW w:type="dxa" w:w="18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Finance</w:t>
            </w:r>
          </w:p>
        </w:tc>
      </w:tr>
      <w:tr>
        <w:tc>
          <w:tcPr>
            <w:tcW w:type="dxa" w:w="3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Compliance mapping</w:t>
            </w:r>
          </w:p>
        </w:tc>
        <w:tc>
          <w:tcPr>
            <w:tcW w:type="dxa" w:w="1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Compliance</w:t>
            </w:r>
          </w:p>
        </w:tc>
        <w:tc>
          <w:tcPr>
            <w:tcW w:type="dxa" w:w="1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Compliance</w:t>
            </w:r>
          </w:p>
        </w:tc>
        <w:tc>
          <w:tcPr>
            <w:tcW w:type="dxa" w:w="1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DPO, SEC</w:t>
            </w:r>
          </w:p>
        </w:tc>
        <w:tc>
          <w:tcPr>
            <w:tcW w:type="dxa" w:w="18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VP</w:t>
            </w:r>
          </w:p>
        </w:tc>
      </w:tr>
      <w:tr>
        <w:tc>
          <w:tcPr>
            <w:tcW w:type="dxa" w:w="30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Kill switch &amp; data purge</w:t>
            </w:r>
          </w:p>
        </w:tc>
        <w:tc>
          <w:tcPr>
            <w:tcW w:type="dxa" w:w="1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Platform admin</w:t>
            </w:r>
          </w:p>
        </w:tc>
        <w:tc>
          <w:tcPr>
            <w:tcW w:type="dxa" w:w="13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SEC</w:t>
            </w:r>
          </w:p>
        </w:tc>
        <w:tc>
          <w:tcPr>
            <w:tcW w:type="dxa" w:w="190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ENG</w:t>
            </w:r>
          </w:p>
        </w:tc>
        <w:tc>
          <w:tcPr>
            <w:tcW w:type="dxa" w:w="1860"/>
            <w:tcBorders>
              <w:top w:val="single" w:color="B8C7CC" w:sz="4"/>
              <w:left w:val="single" w:color="B8C7CC" w:sz="4"/>
              <w:bottom w:val="single" w:color="B8C7CC" w:sz="4"/>
              <w:right w:val="single" w:color="B8C7CC" w:sz="4"/>
            </w:tcBorders>
            <w:tcMar>
              <w:top w:type="dxa" w:w="80"/>
              <w:left w:type="dxa" w:w="120"/>
              <w:bottom w:type="dxa" w:w="80"/>
              <w:right w:type="dxa" w:w="120"/>
            </w:tcMar>
          </w:tcPr>
          <w:p>
            <w:pPr>
              <w:spacing w:after="40"/>
            </w:pPr>
            <w:r>
              <w:rPr>
                <w:b w:val="false"/>
                <w:bCs w:val="false"/>
                <w:sz w:val="18"/>
                <w:szCs w:val="18"/>
              </w:rPr>
              <w:t xml:space="preserve">DPO, VP</w:t>
            </w:r>
          </w:p>
        </w:tc>
      </w:tr>
    </w:tbl>
    <w:p>
      <w:pPr>
        <w:pStyle w:val="Heading1"/>
        <w:spacing w:after="140" w:before="280"/>
      </w:pPr>
      <w:r>
        <w:rPr>
          <w:b/>
          <w:bCs/>
          <w:color w:val="1F2A44"/>
          <w:sz w:val="26"/>
          <w:szCs w:val="26"/>
        </w:rPr>
        <w:t xml:space="preserve">24. Decision Recommendation</w:t>
      </w:r>
    </w:p>
    <w:p>
      <w:pPr>
        <w:spacing w:after="120"/>
      </w:pPr>
      <w:r>
        <w:rPr>
          <w:b/>
          <w:bCs/>
          <w:i w:val="false"/>
          <w:iCs w:val="false"/>
          <w:sz w:val="20"/>
          <w:szCs w:val="20"/>
        </w:rPr>
        <w:t xml:space="preserve">Recommendation: Build, but privacy-first and narrow — and buy the commodity layers.</w:t>
      </w:r>
    </w:p>
    <w:p>
      <w:pPr>
        <w:spacing w:after="120"/>
      </w:pPr>
      <w:r>
        <w:rPr>
          <w:b w:val="false"/>
          <w:bCs w:val="false"/>
          <w:i w:val="false"/>
          <w:iCs w:val="false"/>
          <w:sz w:val="20"/>
          <w:szCs w:val="20"/>
        </w:rPr>
        <w:t xml:space="preserve">Proceed with a Phase 0 validation and legal gate, then a privacy-first MVP that reuses AaraMinds' existing OTel emission, eval-run schema, readiness rubric, and hash-and-reference payloads, and adopts a best-of-breed evaluation backend. Do not build a traffic-intercepting proxy, do not centralize raw source code, and do not build an observability backend.</w:t>
      </w:r>
    </w:p>
    <w:p>
      <w:pPr>
        <w:spacing w:after="120"/>
      </w:pPr>
      <w:r>
        <w:rPr>
          <w:b w:val="false"/>
          <w:bCs w:val="false"/>
          <w:i w:val="false"/>
          <w:iCs w:val="false"/>
          <w:sz w:val="20"/>
          <w:szCs w:val="20"/>
        </w:rPr>
        <w:t xml:space="preserve">Positioning to use consistently: this is continuous, evidence-based certification — the loop that keeps AaraMinds agents certified with governed production evidence. It extends the platform's most defensible capability from a one-time gate into an ongoing guarantee, and it does so at the same privacy and governance bar as the agents it improves.</w:t>
      </w:r>
    </w:p>
    <w:p>
      <w:pPr>
        <w:spacing w:after="120"/>
      </w:pPr>
      <w:r>
        <w:rPr>
          <w:b w:val="false"/>
          <w:bCs w:val="false"/>
          <w:i w:val="false"/>
          <w:iCs w:val="false"/>
          <w:sz w:val="20"/>
          <w:szCs w:val="20"/>
        </w:rPr>
        <w:t xml:space="preserve">Approval sequence: fund Phase 0 now. Phase 1 funding requires Phase 0 exit — DG-001 (build vs. buy), DG-002 (privacy posture &amp; residency, with DPO/legal sign-off), and DG-003 (internal vs. product) decided, and a pilot agent chosen with a measured baseline.</w:t>
      </w:r>
    </w:p>
    <w:p>
      <w:pPr>
        <w:spacing w:after="120"/>
      </w:pPr>
      <w:r>
        <w:rPr>
          <w:b w:val="false"/>
          <w:bCs w:val="false"/>
          <w:i w:val="false"/>
          <w:iCs w:val="false"/>
          <w:sz w:val="20"/>
          <w:szCs w:val="20"/>
        </w:rPr>
        <w:t xml:space="preserve">The initiative is successful if agents measurably improve version over version on real accept and correction rates, the evaluation suites grow from real failures, the rubric is calibrated by evidence, and every byte of it is collected under consent with zero raw-code egress.</w:t>
      </w:r>
    </w:p>
    <w:p>
      <w:pPr>
        <w:pStyle w:val="Heading1"/>
        <w:spacing w:after="140" w:before="280"/>
      </w:pPr>
      <w:r>
        <w:rPr>
          <w:b/>
          <w:bCs/>
          <w:color w:val="1F2A44"/>
          <w:sz w:val="26"/>
          <w:szCs w:val="26"/>
        </w:rPr>
        <w:t xml:space="preserve">25. Sources</w:t>
      </w:r>
    </w:p>
    <w:p>
      <w:pPr>
        <w:spacing w:after="120"/>
      </w:pPr>
      <w:r>
        <w:rPr>
          <w:b w:val="false"/>
          <w:bCs w:val="false"/>
          <w:i/>
          <w:iCs/>
          <w:sz w:val="18"/>
          <w:szCs w:val="18"/>
        </w:rPr>
        <w:t xml:space="preserve">Primary / standards sources take precedence; secondary sources are supporting evidence. Research date: 10 July 2026; re-verify volatile items (spec status, regulatory figures) before external presentation.</w:t>
      </w:r>
    </w:p>
    <w:p>
      <w:pPr>
        <w:spacing w:after="80"/>
      </w:pPr>
      <w:r>
        <w:rPr>
          <w:b/>
          <w:bCs/>
          <w:i w:val="false"/>
          <w:iCs w:val="false"/>
          <w:sz w:val="18"/>
          <w:szCs w:val="18"/>
        </w:rPr>
        <w:t xml:space="preserve">S1. </w:t>
      </w:r>
      <w:r>
        <w:rPr>
          <w:b w:val="false"/>
          <w:bCs w:val="false"/>
          <w:i w:val="false"/>
          <w:iCs w:val="false"/>
          <w:sz w:val="18"/>
          <w:szCs w:val="18"/>
        </w:rPr>
        <w:t xml:space="preserve">Agent data flywheel — production traces to evals and continuous improvement (Databricks; Braintrust). </w:t>
      </w:r>
      <w:hyperlink w:history="1" r:id="rIdhaneyaqtmsdpcgszf2rls">
        <w:r>
          <w:rPr>
            <w:rStyle w:val="Hyperlink"/>
            <w:sz w:val="18"/>
            <w:szCs w:val="18"/>
          </w:rPr>
          <w:t xml:space="preserve">https://www.databricks.com/blog/observability-any-agent-anywhere-production-ready-tracing-opentelemetry-unity-catalog</w:t>
        </w:r>
      </w:hyperlink>
      <w:r>
        <w:rPr>
          <w:b w:val="false"/>
          <w:bCs w:val="false"/>
          <w:i w:val="false"/>
          <w:iCs w:val="false"/>
          <w:sz w:val="18"/>
          <w:szCs w:val="18"/>
        </w:rPr>
        <w:t xml:space="preserve">  |  </w:t>
      </w:r>
      <w:hyperlink w:history="1" r:id="rIdlksfzx3kaoxct6t-zwhah">
        <w:r>
          <w:rPr>
            <w:rStyle w:val="Hyperlink"/>
            <w:sz w:val="18"/>
            <w:szCs w:val="18"/>
          </w:rPr>
          <w:t xml:space="preserve">https://www.braintrust.dev/articles/agent-observability-complete-guide-2026</w:t>
        </w:r>
      </w:hyperlink>
    </w:p>
    <w:p>
      <w:pPr>
        <w:spacing w:after="80"/>
      </w:pPr>
      <w:r>
        <w:rPr>
          <w:b/>
          <w:bCs/>
          <w:i w:val="false"/>
          <w:iCs w:val="false"/>
          <w:sz w:val="18"/>
          <w:szCs w:val="18"/>
        </w:rPr>
        <w:t xml:space="preserve">S2. </w:t>
      </w:r>
      <w:r>
        <w:rPr>
          <w:b w:val="false"/>
          <w:bCs w:val="false"/>
          <w:i w:val="false"/>
          <w:iCs w:val="false"/>
          <w:sz w:val="18"/>
          <w:szCs w:val="18"/>
        </w:rPr>
        <w:t xml:space="preserve">OpenTelemetry GenAI semantic conventions — client spans exited experimental in early 2026. </w:t>
      </w:r>
      <w:hyperlink w:history="1" r:id="rId7zi0eh4g7ewwnfrs-zjin">
        <w:r>
          <w:rPr>
            <w:rStyle w:val="Hyperlink"/>
            <w:sz w:val="18"/>
            <w:szCs w:val="18"/>
          </w:rPr>
          <w:t xml:space="preserve">https://opentelemetry.io/docs/specs/semconv/gen-ai/</w:t>
        </w:r>
      </w:hyperlink>
    </w:p>
    <w:p>
      <w:pPr>
        <w:spacing w:after="80"/>
      </w:pPr>
      <w:r>
        <w:rPr>
          <w:b/>
          <w:bCs/>
          <w:i w:val="false"/>
          <w:iCs w:val="false"/>
          <w:sz w:val="18"/>
          <w:szCs w:val="18"/>
        </w:rPr>
        <w:t xml:space="preserve">S3. </w:t>
      </w:r>
      <w:r>
        <w:rPr>
          <w:b w:val="false"/>
          <w:bCs w:val="false"/>
          <w:i w:val="false"/>
          <w:iCs w:val="false"/>
          <w:sz w:val="18"/>
          <w:szCs w:val="18"/>
        </w:rPr>
        <w:t xml:space="preserve">Bootstrapping evaluation datasets from production traces; closing the loop from failure to regression case. </w:t>
      </w:r>
      <w:hyperlink w:history="1" r:id="rIdl4dbpe5jlsljbqpjr7qtq">
        <w:r>
          <w:rPr>
            <w:rStyle w:val="Hyperlink"/>
            <w:sz w:val="18"/>
            <w:szCs w:val="18"/>
          </w:rPr>
          <w:t xml:space="preserve">https://www.langchain.com/resources/agent-observability</w:t>
        </w:r>
      </w:hyperlink>
    </w:p>
    <w:p>
      <w:pPr>
        <w:spacing w:after="80"/>
      </w:pPr>
      <w:r>
        <w:rPr>
          <w:b/>
          <w:bCs/>
          <w:i w:val="false"/>
          <w:iCs w:val="false"/>
          <w:sz w:val="18"/>
          <w:szCs w:val="18"/>
        </w:rPr>
        <w:t xml:space="preserve">S4. </w:t>
      </w:r>
      <w:r>
        <w:rPr>
          <w:b w:val="false"/>
          <w:bCs w:val="false"/>
          <w:i w:val="false"/>
          <w:iCs w:val="false"/>
          <w:sz w:val="18"/>
          <w:szCs w:val="18"/>
        </w:rPr>
        <w:t xml:space="preserve">Copilot thumbs-up/down telemetry is not exposed to third-party extensions. </w:t>
      </w:r>
      <w:hyperlink w:history="1" r:id="rIdexrnd2mp0ekqhuzgj2yzo">
        <w:r>
          <w:rPr>
            <w:rStyle w:val="Hyperlink"/>
            <w:sz w:val="18"/>
            <w:szCs w:val="18"/>
          </w:rPr>
          <w:t xml:space="preserve">https://dev.to/devactivity/elevating-developer-quality-building-feedback-loops-for-your-vs-code-copilot-ai-agent-k32</w:t>
        </w:r>
      </w:hyperlink>
    </w:p>
    <w:p>
      <w:pPr>
        <w:spacing w:after="80"/>
      </w:pPr>
      <w:r>
        <w:rPr>
          <w:b/>
          <w:bCs/>
          <w:i w:val="false"/>
          <w:iCs w:val="false"/>
          <w:sz w:val="18"/>
          <w:szCs w:val="18"/>
        </w:rPr>
        <w:t xml:space="preserve">S5. </w:t>
      </w:r>
      <w:r>
        <w:rPr>
          <w:b w:val="false"/>
          <w:bCs w:val="false"/>
          <w:i w:val="false"/>
          <w:iCs w:val="false"/>
          <w:sz w:val="18"/>
          <w:szCs w:val="18"/>
        </w:rPr>
        <w:t xml:space="preserve">GDPR fines — EUR 5.65B since 2018; EUR 2.3B in 2025 (+38% YoY); developer telemetry as personal data. </w:t>
      </w:r>
      <w:hyperlink w:history="1" r:id="rIdnyblurqfdl0hahdk_mo7s">
        <w:r>
          <w:rPr>
            <w:rStyle w:val="Hyperlink"/>
            <w:sz w:val="18"/>
            <w:szCs w:val="18"/>
          </w:rPr>
          <w:t xml:space="preserve">https://secureprivacy.ai/blog/data-privacy-trends-2026</w:t>
        </w:r>
      </w:hyperlink>
      <w:r>
        <w:rPr>
          <w:b w:val="false"/>
          <w:bCs w:val="false"/>
          <w:i w:val="false"/>
          <w:iCs w:val="false"/>
          <w:sz w:val="18"/>
          <w:szCs w:val="18"/>
        </w:rPr>
        <w:t xml:space="preserve">  |  </w:t>
      </w:r>
      <w:hyperlink w:history="1" r:id="rIddr-6dunxfn-i6xe4fehj4">
        <w:r>
          <w:rPr>
            <w:rStyle w:val="Hyperlink"/>
            <w:sz w:val="18"/>
            <w:szCs w:val="18"/>
          </w:rPr>
          <w:t xml:space="preserve">https://www.activemind.legal/guides/telemetry-data/</w:t>
        </w:r>
      </w:hyperlink>
    </w:p>
    <w:p>
      <w:pPr>
        <w:spacing w:after="80"/>
      </w:pPr>
      <w:r>
        <w:rPr>
          <w:b/>
          <w:bCs/>
          <w:i w:val="false"/>
          <w:iCs w:val="false"/>
          <w:sz w:val="18"/>
          <w:szCs w:val="18"/>
        </w:rPr>
        <w:t xml:space="preserve">S6. </w:t>
      </w:r>
      <w:r>
        <w:rPr>
          <w:b w:val="false"/>
          <w:bCs w:val="false"/>
          <w:i w:val="false"/>
          <w:iCs w:val="false"/>
          <w:sz w:val="18"/>
          <w:szCs w:val="18"/>
        </w:rPr>
        <w:t xml:space="preserve">Lawful basis, consent, and data-subject rights for telemetry (GDPR). </w:t>
      </w:r>
      <w:hyperlink w:history="1" r:id="rIdgpsr2gtbbvht-3a62anlc">
        <w:r>
          <w:rPr>
            <w:rStyle w:val="Hyperlink"/>
            <w:sz w:val="18"/>
            <w:szCs w:val="18"/>
          </w:rPr>
          <w:t xml:space="preserve">https://oneuptime.com/blog/post/2026-02-06-gdpr-data-subject-access-telemetry/view</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2A44"/>
      <w:sz w:val="26"/>
      <w:szCs w:val="26"/>
    </w:rPr>
  </w:style>
  <w:style w:type="paragraph" w:styleId="Heading2">
    <w:name w:val="Heading 2"/>
    <w:basedOn w:val="Normal"/>
    <w:next w:val="Normal"/>
    <w:qFormat/>
    <w:pPr>
      <w:spacing w:after="100" w:before="200"/>
      <w:outlineLvl w:val="1"/>
    </w:pPr>
    <w:rPr>
      <w:rFonts w:ascii="Calibri" w:cs="Calibri" w:eastAsia="Calibri" w:hAnsi="Calibri"/>
      <w:b/>
      <w:bCs/>
      <w:color w:val="1F2A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aneyaqtmsdpcgszf2rls" Type="http://schemas.openxmlformats.org/officeDocument/2006/relationships/hyperlink" Target="https://www.databricks.com/blog/observability-any-agent-anywhere-production-ready-tracing-opentelemetry-unity-catalog" TargetMode="External"/><Relationship Id="rIdlksfzx3kaoxct6t-zwhah" Type="http://schemas.openxmlformats.org/officeDocument/2006/relationships/hyperlink" Target="https://www.braintrust.dev/articles/agent-observability-complete-guide-2026" TargetMode="External"/><Relationship Id="rId7zi0eh4g7ewwnfrs-zjin" Type="http://schemas.openxmlformats.org/officeDocument/2006/relationships/hyperlink" Target="https://opentelemetry.io/docs/specs/semconv/gen-ai/" TargetMode="External"/><Relationship Id="rIdl4dbpe5jlsljbqpjr7qtq" Type="http://schemas.openxmlformats.org/officeDocument/2006/relationships/hyperlink" Target="https://www.langchain.com/resources/agent-observability" TargetMode="External"/><Relationship Id="rIdexrnd2mp0ekqhuzgj2yzo" Type="http://schemas.openxmlformats.org/officeDocument/2006/relationships/hyperlink" Target="https://dev.to/devactivity/elevating-developer-quality-building-feedback-loops-for-your-vs-code-copilot-ai-agent-k32" TargetMode="External"/><Relationship Id="rIdnyblurqfdl0hahdk_mo7s" Type="http://schemas.openxmlformats.org/officeDocument/2006/relationships/hyperlink" Target="https://secureprivacy.ai/blog/data-privacy-trends-2026" TargetMode="External"/><Relationship Id="rIddr-6dunxfn-i6xe4fehj4" Type="http://schemas.openxmlformats.org/officeDocument/2006/relationships/hyperlink" Target="https://www.activemind.legal/guides/telemetry-data/" TargetMode="External"/><Relationship Id="rIdgpsr2gtbbvht-3a62anlc" Type="http://schemas.openxmlformats.org/officeDocument/2006/relationships/hyperlink" Target="https://oneuptime.com/blog/post/2026-02-06-gdpr-data-subject-access-telemetry/view"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2026-07-10T02:54:44.440Z</dcterms:created>
  <dcterms:modified xsi:type="dcterms:W3CDTF">2026-07-10T02:54:44.440Z</dcterms:modified>
</cp:coreProperties>
</file>

<file path=docProps/custom.xml><?xml version="1.0" encoding="utf-8"?>
<Properties xmlns="http://schemas.openxmlformats.org/officeDocument/2006/custom-properties" xmlns:vt="http://schemas.openxmlformats.org/officeDocument/2006/docPropsVTypes"/>
</file>