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56"/>
        </w:rPr>
        <w:t>Aara — Decisions Needed</w:t>
      </w:r>
    </w:p>
    <w:p>
      <w:pPr>
        <w:spacing w:after="240"/>
      </w:pPr>
      <w:r>
        <w:rPr>
          <w:i/>
          <w:color w:val="605E5C"/>
        </w:rPr>
        <w:t>Twelve open questions blocking finalization of the Aara PRD and start of Phase-0 alpha. Each entry names an owner, a due date, the option-space, and a current recommendation.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776"/>
      </w:tblGrid>
      <w:tr>
        <w:tc>
          <w:tcPr>
            <w:tcW w:type="dxa" w:w="2160"/>
            <w:shd w:val="clear" w:color="auto" w:fill="F2F2F2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7776"/>
          </w:tcPr>
          <w:p>
            <w:r>
              <w:t>Raja (Product)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/>
              </w:rPr>
              <w:t>Audience</w:t>
            </w:r>
          </w:p>
        </w:tc>
        <w:tc>
          <w:tcPr>
            <w:tcW w:type="dxa" w:w="7776"/>
          </w:tcPr>
          <w:p>
            <w:r>
              <w:t>Eng lead, IT/Security, AT&amp;T AI team lead, BCLM project leadership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/>
              </w:rPr>
              <w:t>Companion to</w:t>
            </w:r>
          </w:p>
        </w:tc>
        <w:tc>
          <w:tcPr>
            <w:tcW w:type="dxa" w:w="7776"/>
          </w:tcPr>
          <w:p>
            <w:r>
              <w:t>Aara_Teams_Aggregator_PRD.docx v0.2 (PRD §15 Open Questions)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/>
              </w:rPr>
              <w:t>Updated</w:t>
            </w:r>
          </w:p>
        </w:tc>
        <w:tc>
          <w:tcPr>
            <w:tcW w:type="dxa" w:w="7776"/>
          </w:tcPr>
          <w:p>
            <w:r>
              <w:t>May 26, 2026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7776"/>
          </w:tcPr>
          <w:p>
            <w:r>
              <w:t>Open — none resolved yet</w:t>
            </w:r>
          </w:p>
        </w:tc>
      </w:tr>
    </w:tbl>
    <w:p/>
    <w:p>
      <w:pPr>
        <w:spacing w:before="360" w:after="160"/>
      </w:pPr>
      <w:r>
        <w:rPr>
          <w:b/>
          <w:color w:val="1F3864"/>
          <w:sz w:val="40"/>
        </w:rPr>
        <w:t>1. Summary</w:t>
      </w:r>
    </w:p>
    <w:p>
      <w:pPr>
        <w:spacing w:after="80"/>
      </w:pPr>
      <w:r>
        <w:t>Twelve decisions block forward motion. Five sit with the AT&amp;T AI team, three with IT/Network/Apps, three with Product, one with Compliance. Six of them must close before Phase-0 alpha can kick off; the rest before beta. Recommendation for every question is provided below — most are non-controversial and exist mainly to confirm owners and lead times.</w:t>
      </w:r>
    </w:p>
    <w:p>
      <w:pPr>
        <w:spacing w:before="240" w:after="120"/>
      </w:pPr>
      <w:r>
        <w:rPr>
          <w:b/>
          <w:color w:val="2E74B5"/>
          <w:sz w:val="28"/>
        </w:rPr>
        <w:t>Decision groups at a glance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2484"/>
            <w:shd w:val="clear" w:color="auto" w:fill="1F3864"/>
          </w:tcPr>
          <w:p>
            <w:r/>
            <w:r>
              <w:rPr>
                <w:b/>
                <w:color w:val="FFFFFF"/>
              </w:rPr>
              <w:t>Blocks</w:t>
            </w:r>
          </w:p>
        </w:tc>
      </w:tr>
      <w:tr>
        <w:tc>
          <w:tcPr>
            <w:tcW w:type="dxa" w:w="2484"/>
          </w:tcPr>
          <w:p>
            <w:r>
              <w:t>AskAT&amp;T integration</w:t>
            </w:r>
          </w:p>
        </w:tc>
        <w:tc>
          <w:tcPr>
            <w:tcW w:type="dxa" w:w="2484"/>
          </w:tcPr>
          <w:p>
            <w:r>
              <w:t>AT&amp;T AI team</w:t>
            </w:r>
          </w:p>
        </w:tc>
        <w:tc>
          <w:tcPr>
            <w:tcW w:type="dxa" w:w="2484"/>
          </w:tcPr>
          <w:p>
            <w:r>
              <w:t>Q3, Q4, Q5, Q6 (4)</w:t>
            </w:r>
          </w:p>
        </w:tc>
        <w:tc>
          <w:tcPr>
            <w:tcW w:type="dxa" w:w="2484"/>
          </w:tcPr>
          <w:p>
            <w:r>
              <w:t>Alpha for 3 of 4; beta for 1</w:t>
            </w:r>
          </w:p>
        </w:tc>
      </w:tr>
      <w:tr>
        <w:tc>
          <w:tcPr>
            <w:tcW w:type="dxa" w:w="2484"/>
          </w:tcPr>
          <w:p>
            <w:r>
              <w:t>IT / Network / Apps</w:t>
            </w:r>
          </w:p>
        </w:tc>
        <w:tc>
          <w:tcPr>
            <w:tcW w:type="dxa" w:w="2484"/>
          </w:tcPr>
          <w:p>
            <w:r>
              <w:t>IT / Network / App Catalog</w:t>
            </w:r>
          </w:p>
        </w:tc>
        <w:tc>
          <w:tcPr>
            <w:tcW w:type="dxa" w:w="2484"/>
          </w:tcPr>
          <w:p>
            <w:r>
              <w:t>Q2, Q7, Q11 (3)</w:t>
            </w:r>
          </w:p>
        </w:tc>
        <w:tc>
          <w:tcPr>
            <w:tcW w:type="dxa" w:w="2484"/>
          </w:tcPr>
          <w:p>
            <w:r>
              <w:t>Alpha</w:t>
            </w:r>
          </w:p>
        </w:tc>
      </w:tr>
      <w:tr>
        <w:tc>
          <w:tcPr>
            <w:tcW w:type="dxa" w:w="2484"/>
          </w:tcPr>
          <w:p>
            <w:r>
              <w:t>Product</w:t>
            </w:r>
          </w:p>
        </w:tc>
        <w:tc>
          <w:tcPr>
            <w:tcW w:type="dxa" w:w="2484"/>
          </w:tcPr>
          <w:p>
            <w:r>
              <w:t>Raja (Product)</w:t>
            </w:r>
          </w:p>
        </w:tc>
        <w:tc>
          <w:tcPr>
            <w:tcW w:type="dxa" w:w="2484"/>
          </w:tcPr>
          <w:p>
            <w:r>
              <w:t>Q1, Q8, Q10, Q12 (4)</w:t>
            </w:r>
          </w:p>
        </w:tc>
        <w:tc>
          <w:tcPr>
            <w:tcW w:type="dxa" w:w="2484"/>
          </w:tcPr>
          <w:p>
            <w:r>
              <w:t>Alpha for 3; beta for 1</w:t>
            </w:r>
          </w:p>
        </w:tc>
      </w:tr>
      <w:tr>
        <w:tc>
          <w:tcPr>
            <w:tcW w:type="dxa" w:w="2484"/>
          </w:tcPr>
          <w:p>
            <w:r>
              <w:t>Compliance</w:t>
            </w:r>
          </w:p>
        </w:tc>
        <w:tc>
          <w:tcPr>
            <w:tcW w:type="dxa" w:w="2484"/>
          </w:tcPr>
          <w:p>
            <w:r>
              <w:t>Compliance / Records</w:t>
            </w:r>
          </w:p>
        </w:tc>
        <w:tc>
          <w:tcPr>
            <w:tcW w:type="dxa" w:w="2484"/>
          </w:tcPr>
          <w:p>
            <w:r>
              <w:t>Q9 (1)</w:t>
            </w:r>
          </w:p>
        </w:tc>
        <w:tc>
          <w:tcPr>
            <w:tcW w:type="dxa" w:w="2484"/>
          </w:tcPr>
          <w:p>
            <w:r>
              <w:t>Alpha</w:t>
            </w:r>
          </w:p>
        </w:tc>
      </w:tr>
    </w:tbl>
    <w:p/>
    <w:p>
      <w:pPr>
        <w:spacing w:before="360" w:after="160"/>
      </w:pPr>
      <w:r>
        <w:rPr>
          <w:b/>
          <w:color w:val="1F3864"/>
          <w:sz w:val="40"/>
        </w:rPr>
        <w:t>2. Decisions tracker</w:t>
      </w:r>
    </w:p>
    <w:p>
      <w:pPr>
        <w:spacing w:after="80"/>
      </w:pPr>
      <w:r>
        <w:rPr>
          <w:color w:val="605E5C"/>
        </w:rPr>
        <w:t>One row per decision. Detailed context and option-space follow in §3–§6.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86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val="clear" w:color="auto" w:fill="1F3864"/>
          </w:tcPr>
          <w:p>
            <w:r/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656"/>
            <w:shd w:val="clear" w:color="auto" w:fill="1F3864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656"/>
            <w:shd w:val="clear" w:color="auto" w:fill="1F3864"/>
          </w:tcPr>
          <w:p>
            <w:r/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1656"/>
            <w:shd w:val="clear" w:color="auto" w:fill="1F3864"/>
          </w:tcPr>
          <w:p>
            <w:r/>
            <w:r>
              <w:rPr>
                <w:b/>
                <w:color w:val="FFFFFF"/>
              </w:rPr>
              <w:t>Recommendation</w:t>
            </w:r>
          </w:p>
        </w:tc>
        <w:tc>
          <w:tcPr>
            <w:tcW w:type="dxa" w:w="1656"/>
            <w:shd w:val="clear" w:color="auto" w:fill="1F3864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color w:val="1F3864"/>
              </w:rPr>
              <w:t>Q1</w:t>
            </w:r>
          </w:p>
        </w:tc>
        <w:tc>
          <w:tcPr>
            <w:tcW w:type="dxa" w:w="1656"/>
          </w:tcPr>
          <w:p>
            <w:r/>
            <w:r>
              <w:t>Which channels/group chats are in initial Aara scope?</w:t>
            </w:r>
          </w:p>
        </w:tc>
        <w:tc>
          <w:tcPr>
            <w:tcW w:type="dxa" w:w="1656"/>
          </w:tcPr>
          <w:p>
            <w:r/>
            <w:r>
              <w:t>Raja (PM)</w:t>
            </w:r>
          </w:p>
        </w:tc>
        <w:tc>
          <w:tcPr>
            <w:tcW w:type="dxa" w:w="1656"/>
          </w:tcPr>
          <w:p>
            <w:r/>
            <w:r>
              <w:t>Jun 2</w:t>
            </w:r>
          </w:p>
        </w:tc>
        <w:tc>
          <w:tcPr>
            <w:tcW w:type="dxa" w:w="1656"/>
          </w:tcPr>
          <w:p>
            <w:r/>
            <w:r>
              <w:t>BCLM-eng, BCLM-leads, BCLM-vendor, BCLM-status — confirm with project lead.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1F3864"/>
              </w:rPr>
              <w:t>Q2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IT owner for Teams app registration &amp; RSC approval?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IT — Identity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Jun 2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Identify named contact; aim for app registered and consented by Jun 9.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color w:val="1F3864"/>
              </w:rPr>
              <w:t>Q3</w:t>
            </w:r>
          </w:p>
        </w:tc>
        <w:tc>
          <w:tcPr>
            <w:tcW w:type="dxa" w:w="1656"/>
          </w:tcPr>
          <w:p>
            <w:r/>
            <w:r>
              <w:t>AskAT&amp;T: which exact model + version do we pin for v1?</w:t>
            </w:r>
          </w:p>
        </w:tc>
        <w:tc>
          <w:tcPr>
            <w:tcW w:type="dxa" w:w="1656"/>
          </w:tcPr>
          <w:p>
            <w:r/>
            <w:r>
              <w:t>AT&amp;T AI team</w:t>
            </w:r>
          </w:p>
        </w:tc>
        <w:tc>
          <w:tcPr>
            <w:tcW w:type="dxa" w:w="1656"/>
          </w:tcPr>
          <w:p>
            <w:r/>
            <w:r>
              <w:t>Jun 5</w:t>
            </w:r>
          </w:p>
        </w:tc>
        <w:tc>
          <w:tcPr>
            <w:tcW w:type="dxa" w:w="1656"/>
          </w:tcPr>
          <w:p>
            <w:r/>
            <w:r>
              <w:t>Pin the latest GPT-4-class model AskAT&amp;T offers; document deprecation calendar.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1F3864"/>
              </w:rPr>
              <w:t>Q4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AskAT&amp;T: rate limits, concurrency, reserved capacity for &lt;30s SLO?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AT&amp;T AI team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Jun 5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Reserve 12 RPS sustained / 30 RPS burst; revisit at beta.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color w:val="1F3864"/>
              </w:rPr>
              <w:t>Q5</w:t>
            </w:r>
          </w:p>
        </w:tc>
        <w:tc>
          <w:tcPr>
            <w:tcW w:type="dxa" w:w="1656"/>
          </w:tcPr>
          <w:p>
            <w:r/>
            <w:r>
              <w:t>AskAT&amp;T: is structured/JSON-mode output native, or do we wrap with retry?</w:t>
            </w:r>
          </w:p>
        </w:tc>
        <w:tc>
          <w:tcPr>
            <w:tcW w:type="dxa" w:w="1656"/>
          </w:tcPr>
          <w:p>
            <w:r/>
            <w:r>
              <w:t>AT&amp;T AI team</w:t>
            </w:r>
          </w:p>
        </w:tc>
        <w:tc>
          <w:tcPr>
            <w:tcW w:type="dxa" w:w="1656"/>
          </w:tcPr>
          <w:p>
            <w:r/>
            <w:r>
              <w:t>Jun 5</w:t>
            </w:r>
          </w:p>
        </w:tc>
        <w:tc>
          <w:tcPr>
            <w:tcW w:type="dxa" w:w="1656"/>
          </w:tcPr>
          <w:p>
            <w:r/>
            <w:r>
              <w:t>Native preferred; wrap with schema-validation retry as fallback.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1F3864"/>
              </w:rPr>
              <w:t>Q6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AskAT&amp;T: does the platform expose an embeddings endpoint?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AT&amp;T AI team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Jul 7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If yes, use for AI Search vector index; if no, drop semantic search from v1.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color w:val="1F3864"/>
              </w:rPr>
              <w:t>Q7</w:t>
            </w:r>
          </w:p>
        </w:tc>
        <w:tc>
          <w:tcPr>
            <w:tcW w:type="dxa" w:w="1656"/>
          </w:tcPr>
          <w:p>
            <w:r/>
            <w:r>
              <w:t>Network path to AskAT&amp;T: ExpressRoute / Private Link / VNet peering?</w:t>
            </w:r>
          </w:p>
        </w:tc>
        <w:tc>
          <w:tcPr>
            <w:tcW w:type="dxa" w:w="1656"/>
          </w:tcPr>
          <w:p>
            <w:r/>
            <w:r>
              <w:t>IT — Network</w:t>
            </w:r>
          </w:p>
        </w:tc>
        <w:tc>
          <w:tcPr>
            <w:tcW w:type="dxa" w:w="1656"/>
          </w:tcPr>
          <w:p>
            <w:r/>
            <w:r>
              <w:t>Jun 5</w:t>
            </w:r>
          </w:p>
        </w:tc>
        <w:tc>
          <w:tcPr>
            <w:tcW w:type="dxa" w:w="1656"/>
          </w:tcPr>
          <w:p>
            <w:r/>
            <w:r>
              <w:t>ExpressRoute via existing AT&amp;T circuit; confirm capacity &amp; 2-week lead time.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1F3864"/>
              </w:rPr>
              <w:t>Q8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Planner write-back: bidirectional in v1, or one-way in v1.1?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Raja (Product)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Jul 7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One-way (bot → Planner) in v1.1; revisit bi-di for v2.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color w:val="1F3864"/>
              </w:rPr>
              <w:t>Q9</w:t>
            </w:r>
          </w:p>
        </w:tc>
        <w:tc>
          <w:tcPr>
            <w:tcW w:type="dxa" w:w="1656"/>
          </w:tcPr>
          <w:p>
            <w:r/>
            <w:r>
              <w:t>Retention policy on raw messages vs. extracted items?</w:t>
            </w:r>
          </w:p>
        </w:tc>
        <w:tc>
          <w:tcPr>
            <w:tcW w:type="dxa" w:w="1656"/>
          </w:tcPr>
          <w:p>
            <w:r/>
            <w:r>
              <w:t>Compliance / Records</w:t>
            </w:r>
          </w:p>
        </w:tc>
        <w:tc>
          <w:tcPr>
            <w:tcW w:type="dxa" w:w="1656"/>
          </w:tcPr>
          <w:p>
            <w:r/>
            <w:r>
              <w:t>Jun 2</w:t>
            </w:r>
          </w:p>
        </w:tc>
        <w:tc>
          <w:tcPr>
            <w:tcW w:type="dxa" w:w="1656"/>
          </w:tcPr>
          <w:p>
            <w:r/>
            <w:r>
              <w:t>Raw: 90 days. Extracted (action items, decisions, follow-ups, digests): indefinite while project active. Audit log: 18 months.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1F3864"/>
              </w:rPr>
              <w:t>Q10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Authorization model for /Aara channels add?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Raja (Product)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Jun 2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Named Aara admin role only; admin assigned by project lead.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color w:val="1F3864"/>
              </w:rPr>
              <w:t>Q11</w:t>
            </w:r>
          </w:p>
        </w:tc>
        <w:tc>
          <w:tcPr>
            <w:tcW w:type="dxa" w:w="1656"/>
          </w:tcPr>
          <w:p>
            <w:r/>
            <w:r>
              <w:t>Teams app catalog approval — lead time and gate?</w:t>
            </w:r>
          </w:p>
        </w:tc>
        <w:tc>
          <w:tcPr>
            <w:tcW w:type="dxa" w:w="1656"/>
          </w:tcPr>
          <w:p>
            <w:r/>
            <w:r>
              <w:t>IT — App Catalog</w:t>
            </w:r>
          </w:p>
        </w:tc>
        <w:tc>
          <w:tcPr>
            <w:tcW w:type="dxa" w:w="1656"/>
          </w:tcPr>
          <w:p>
            <w:r/>
            <w:r>
              <w:t>Jun 2</w:t>
            </w:r>
          </w:p>
        </w:tc>
        <w:tc>
          <w:tcPr>
            <w:tcW w:type="dxa" w:w="1656"/>
          </w:tcPr>
          <w:p>
            <w:r/>
            <w:r>
              <w:t>Submit to catalog by Jun 9; assume 5-business-day SLA; raise to IT if longer.</w:t>
            </w:r>
          </w:p>
        </w:tc>
        <w:tc>
          <w:tcPr>
            <w:tcW w:type="dxa" w:w="1656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  <w:tr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1F3864"/>
              </w:rPr>
              <w:t>Q12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Does the bot need to handle non-English content in v1?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Raja (Product)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Jun 2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t>English-only v1; revisit when a non-English use case appears in beta.</w:t>
            </w:r>
          </w:p>
        </w:tc>
        <w:tc>
          <w:tcPr>
            <w:tcW w:type="dxa" w:w="1656"/>
            <w:shd w:val="clear" w:color="auto" w:fill="FAFAFA"/>
          </w:tcPr>
          <w:p>
            <w:r/>
            <w:r>
              <w:rPr>
                <w:b/>
                <w:color w:val="CA5B00"/>
              </w:rPr>
              <w:t>Open</w:t>
            </w:r>
          </w:p>
        </w:tc>
      </w:tr>
    </w:tbl>
    <w:p/>
    <w:p>
      <w:pPr>
        <w:spacing w:before="360" w:after="160"/>
      </w:pPr>
      <w:r>
        <w:rPr>
          <w:b/>
          <w:color w:val="1F3864"/>
          <w:sz w:val="40"/>
        </w:rPr>
        <w:t>3. AskAT&amp;T integration (5 decisions, owner: AT&amp;T AI team)</w:t>
      </w:r>
    </w:p>
    <w:p>
      <w:pPr>
        <w:spacing w:after="80"/>
      </w:pPr>
      <w:r>
        <w:t>These four questions sit on the critical path because the chosen AskAT&amp;T model, capacity, and API surface shape every layer of the Azure bot. Schedule the AT&amp;T AI team conversation in the first week.</w:t>
      </w:r>
    </w:p>
    <w:p>
      <w:pPr>
        <w:spacing w:before="200" w:after="80"/>
      </w:pPr>
      <w:r>
        <w:rPr>
          <w:b/>
          <w:color w:val="1F3864"/>
          <w:sz w:val="24"/>
        </w:rPr>
        <w:t>Q3 · Which exact AskAT&amp;T model + version do we pin for v1?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AT&amp;T AI team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Jun 5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Phase-0 alpha (Jun 9)    </w:t>
      </w:r>
    </w:p>
    <w:p>
      <w:pPr>
        <w:spacing w:after="80"/>
      </w:pPr>
      <w:r>
        <w:rPr>
          <w:b/>
        </w:rPr>
        <w:t xml:space="preserve">Context. </w:t>
      </w:r>
      <w:r>
        <w:t>AskAT&amp;T exposes a catalog of approved models. The bot needs a single pinned model + version per release so behavior is reproducible. We also need a deprecation calendar so we can plan migration if the model is retired during the Aara project window.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Pin a GPT-4-class model AskAT&amp;T currently supports (recommended).</w:t>
      </w:r>
    </w:p>
    <w:p>
      <w:pPr>
        <w:pStyle w:val="ListBullet"/>
        <w:spacing w:after="60"/>
      </w:pPr>
      <w:r>
        <w:t>Pin a smaller/cheaper model (faster, weaker structured-output behavior — likely fails alpha exit criterion).</w:t>
      </w:r>
    </w:p>
    <w:p>
      <w:pPr>
        <w:pStyle w:val="ListBullet"/>
        <w:spacing w:after="60"/>
      </w:pPr>
      <w:r>
        <w:t>Pin a versioned alias rather than a model snapshot (less reproducible).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Pin the latest GPT-4-class snapshot AskAT&amp;T offers. Track AT&amp;T-AI's deprecation calendar in this memo and revisit at each release. Validate structured-output behavior in alpha.</w:t>
      </w:r>
    </w:p>
    <w:p>
      <w:pPr>
        <w:spacing w:before="200" w:after="80"/>
      </w:pPr>
      <w:r>
        <w:rPr>
          <w:b/>
          <w:color w:val="1F3864"/>
          <w:sz w:val="24"/>
        </w:rPr>
        <w:t>Q4 · AskAT&amp;T rate limits, concurrency, reserved capacity?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AT&amp;T AI team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Jun 5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Phase-0 alpha (Jun 9)    </w:t>
      </w:r>
    </w:p>
    <w:p>
      <w:pPr>
        <w:spacing w:after="80"/>
      </w:pPr>
      <w:r>
        <w:rPr>
          <w:b/>
        </w:rPr>
        <w:t xml:space="preserve">Context. </w:t>
      </w:r>
      <w:r>
        <w:t>PRD §6.3 sets a &lt; 30s response-time target for on-demand summaries on windows up to 7 days. That translates to LLM concurrency under load. We need explicit quota numbers, and likely a reserved-capacity arrangement so we are not throttled at peak.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Use shared AskAT&amp;T capacity (cheaper but throttle-risk; likely fails SLO).</w:t>
      </w:r>
    </w:p>
    <w:p>
      <w:pPr>
        <w:pStyle w:val="ListBullet"/>
        <w:spacing w:after="60"/>
      </w:pPr>
      <w:r>
        <w:t>Reserve 12 RPS sustained / 30 RPS burst for Aara (recommended at v1 scale).</w:t>
      </w:r>
    </w:p>
    <w:p>
      <w:pPr>
        <w:pStyle w:val="ListBullet"/>
        <w:spacing w:after="60"/>
      </w:pPr>
      <w:r>
        <w:t>Defer the SLO until measured load is known (delays beta exit criteria).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Negotiate 12 RPS sustained / 30 RPS burst reserved capacity for v1, with a re-evaluation at beta. Document the SLA in a follow-up addendum to this memo.</w:t>
      </w:r>
    </w:p>
    <w:p>
      <w:pPr>
        <w:spacing w:before="200" w:after="80"/>
      </w:pPr>
      <w:r>
        <w:rPr>
          <w:b/>
          <w:color w:val="1F3864"/>
          <w:sz w:val="24"/>
        </w:rPr>
        <w:t>Q5 · Is structured / JSON-mode output native, or do we wrap with retry?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AT&amp;T AI team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Jun 5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Phase-0 alpha (Jun 9)    </w:t>
      </w:r>
    </w:p>
    <w:p>
      <w:pPr>
        <w:spacing w:after="80"/>
      </w:pPr>
      <w:r>
        <w:rPr>
          <w:b/>
        </w:rPr>
        <w:t xml:space="preserve">Context. </w:t>
      </w:r>
      <w:r>
        <w:t>Action-item / decision extraction depends on reliable JSON output. Native JSON mode (where the model is constrained to valid JSON by the inference runtime) is materially more reliable than prompt-only JSON. PRD §6.2 mandates source-message citations on every item — these are easier to enforce with a strict schema.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AskAT&amp;T offers native JSON mode → use directly (recommended).</w:t>
      </w:r>
    </w:p>
    <w:p>
      <w:pPr>
        <w:pStyle w:val="ListBullet"/>
        <w:spacing w:after="60"/>
      </w:pPr>
      <w:r>
        <w:t>AskAT&amp;T does not → wrap our client with a schema-validation retry loop (3 attempts, then triage).</w:t>
      </w:r>
    </w:p>
    <w:p>
      <w:pPr>
        <w:pStyle w:val="ListBullet"/>
        <w:spacing w:after="60"/>
      </w:pPr>
      <w:r>
        <w:t>Mixed: native mode available for some models, not others → pin a model that supports it.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Prefer native JSON mode. If unavailable on the pinned model, implement a 3-retry schema-validation wrapper in the bot backend and budget the extra latency in §6.3 SLO planning.</w:t>
      </w:r>
    </w:p>
    <w:p>
      <w:pPr>
        <w:spacing w:before="200" w:after="80"/>
      </w:pPr>
      <w:r>
        <w:rPr>
          <w:b/>
          <w:color w:val="1F3864"/>
          <w:sz w:val="24"/>
        </w:rPr>
        <w:t>Q6 · Does AskAT&amp;T expose an embeddings endpoint?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AT&amp;T AI team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Jul 7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Phase-1 beta (Jul 7) — does NOT block alpha    </w:t>
      </w:r>
    </w:p>
    <w:p>
      <w:pPr>
        <w:spacing w:after="80"/>
      </w:pPr>
      <w:r>
        <w:rPr>
          <w:b/>
        </w:rPr>
        <w:t xml:space="preserve">Context. </w:t>
      </w:r>
      <w:r>
        <w:t>PRD §8.2 mentions Azure AI Search as an optional v1 component for semantic recall across Aara history. Vector indexing requires an embeddings model. If AskAT&amp;T does not expose one, we either drop semantic search from v1 or escalate for a separate approved embeddings path.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AskAT&amp;T exposes an embeddings endpoint → use directly, index in AI Search (recommended if available).</w:t>
      </w:r>
    </w:p>
    <w:p>
      <w:pPr>
        <w:pStyle w:val="ListBullet"/>
        <w:spacing w:after="60"/>
      </w:pPr>
      <w:r>
        <w:t>Not available → drop semantic search from v1 scope, revisit in v2.</w:t>
      </w:r>
    </w:p>
    <w:p>
      <w:pPr>
        <w:pStyle w:val="ListBullet"/>
        <w:spacing w:after="60"/>
      </w:pPr>
      <w:r>
        <w:t>Use a different AT&amp;T-approved embeddings service → adds another integration; only if obviously available.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If embeddings are available, build the AI Search index in alpha. If not, drop semantic search and remove the AI Search line-item from the deployment view.</w:t>
      </w:r>
    </w:p>
    <w:p>
      <w:pPr>
        <w:spacing w:before="360" w:after="160"/>
      </w:pPr>
      <w:r>
        <w:rPr>
          <w:b/>
          <w:color w:val="1F3864"/>
          <w:sz w:val="40"/>
        </w:rPr>
        <w:t>4. IT / Network / Apps (3 decisions, owner: IT)</w:t>
      </w:r>
    </w:p>
    <w:p>
      <w:pPr>
        <w:spacing w:after="80"/>
      </w:pPr>
      <w:r>
        <w:t>Standard enterprise plumbing — none of these decisions are technically hard, but each carries 1–3 weeks of lead time. Start the IT conversation in the first week.</w:t>
      </w:r>
    </w:p>
    <w:p>
      <w:pPr>
        <w:spacing w:before="200" w:after="80"/>
      </w:pPr>
      <w:r>
        <w:rPr>
          <w:b/>
          <w:color w:val="1F3864"/>
          <w:sz w:val="24"/>
        </w:rPr>
        <w:t>Q2 · Who in IT owns Teams app registration + RSC approval?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IT — Identity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Jun 2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Phase-0 alpha (Jun 9)    </w:t>
      </w:r>
    </w:p>
    <w:p>
      <w:pPr>
        <w:spacing w:after="80"/>
      </w:pPr>
      <w:r>
        <w:rPr>
          <w:b/>
        </w:rPr>
        <w:t xml:space="preserve">Context. </w:t>
      </w:r>
      <w:r>
        <w:t>Aara installs as a Teams app and requests Resource-Specific Consent (RSC) scopes per team. App registration in Entra ID and RSC permission consent are both gated by IT. We need a named owner and lead time.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Single named contact in IT-Identity (recommended).</w:t>
      </w:r>
    </w:p>
    <w:p>
      <w:pPr>
        <w:pStyle w:val="ListBullet"/>
        <w:spacing w:after="60"/>
      </w:pPr>
      <w:r>
        <w:t>Generic ServiceNow queue (slower, less accountable).</w:t>
      </w:r>
    </w:p>
    <w:p>
      <w:pPr>
        <w:pStyle w:val="ListBullet"/>
        <w:spacing w:after="60"/>
      </w:pPr>
      <w:r>
        <w:t>Self-service via internal devportal if available (fastest but rarely an option for new apps).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Get a named Identity-team contact. Aim for app registered + RSC consent ready by Jun 9.</w:t>
      </w:r>
    </w:p>
    <w:p>
      <w:pPr>
        <w:spacing w:before="200" w:after="80"/>
      </w:pPr>
      <w:r>
        <w:rPr>
          <w:b/>
          <w:color w:val="1F3864"/>
          <w:sz w:val="24"/>
        </w:rPr>
        <w:t>Q7 · Network path to AskAT&amp;T: ExpressRoute / Private Link / VNet peering?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IT — Network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Jun 5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Phase-0 alpha (Jun 9)    </w:t>
      </w:r>
    </w:p>
    <w:p>
      <w:pPr>
        <w:spacing w:after="80"/>
      </w:pPr>
      <w:r>
        <w:rPr>
          <w:b/>
        </w:rPr>
        <w:t xml:space="preserve">Context. </w:t>
      </w:r>
      <w:r>
        <w:t>PRD §8.4 commits to a private-network path to AskAT&amp;T (no public-Internet hop). The architecture diagrams assume ExpressRoute, but the actual choice depends on how AskAT&amp;T is exposed and what the AT&amp;T-Azure network team already has provisioned.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Reuse an existing ExpressRoute circuit AT&amp;T already has into Azure (recommended — fastest).</w:t>
      </w:r>
    </w:p>
    <w:p>
      <w:pPr>
        <w:pStyle w:val="ListBullet"/>
        <w:spacing w:after="60"/>
      </w:pPr>
      <w:r>
        <w:t>New Private Link service (more isolated but new infra; longer lead time).</w:t>
      </w:r>
    </w:p>
    <w:p>
      <w:pPr>
        <w:pStyle w:val="ListBullet"/>
        <w:spacing w:after="60"/>
      </w:pPr>
      <w:r>
        <w:t>VNet peering to an AT&amp;T-managed Azure VNet that fronts AskAT&amp;T (good if available).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Reuse existing ExpressRoute. Confirm BGP path to AskAT&amp;T endpoint and capacity. Plan 2-week lead time on any new routes.</w:t>
      </w:r>
    </w:p>
    <w:p>
      <w:pPr>
        <w:spacing w:before="200" w:after="80"/>
      </w:pPr>
      <w:r>
        <w:rPr>
          <w:b/>
          <w:color w:val="1F3864"/>
          <w:sz w:val="24"/>
        </w:rPr>
        <w:t>Q11 · Teams app catalog approval — lead time and gate?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IT — App Catalog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Jun 2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Phase-1 beta (Jul 7) — does NOT block alpha    </w:t>
      </w:r>
    </w:p>
    <w:p>
      <w:pPr>
        <w:spacing w:after="80"/>
      </w:pPr>
      <w:r>
        <w:rPr>
          <w:b/>
        </w:rPr>
        <w:t xml:space="preserve">Context. </w:t>
      </w:r>
      <w:r>
        <w:t>Production Aara needs to be published into the AT&amp;T tenant Teams app catalog before broad rollout. App-catalog approvals usually carry an SLA and a review process (typically 5 business days but can be longer).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Standard catalog approval workflow (recommended; submit early).</w:t>
      </w:r>
    </w:p>
    <w:p>
      <w:pPr>
        <w:pStyle w:val="ListBullet"/>
        <w:spacing w:after="60"/>
      </w:pPr>
      <w:r>
        <w:t>Side-loaded admin install only (works for alpha but blocks beta).</w:t>
      </w:r>
    </w:p>
    <w:p>
      <w:pPr>
        <w:pStyle w:val="ListBullet"/>
        <w:spacing w:after="60"/>
      </w:pPr>
      <w:r>
        <w:t>Pre-approve via Teams admin policy override (faster but requires sign-off).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Submit to catalog by Jun 9 so beta is unblocked. If the standard SLA is &gt;5 business days, escalate to IT leadership.</w:t>
      </w:r>
    </w:p>
    <w:p>
      <w:pPr>
        <w:spacing w:before="360" w:after="160"/>
      </w:pPr>
      <w:r>
        <w:rPr>
          <w:b/>
          <w:color w:val="1F3864"/>
          <w:sz w:val="40"/>
        </w:rPr>
        <w:t>5. Product (4 decisions, owner: Raja)</w:t>
      </w:r>
    </w:p>
    <w:p>
      <w:pPr>
        <w:spacing w:after="80"/>
      </w:pPr>
      <w:r>
        <w:t>These are decisions I can close myself with the project-lead conversation. None are technically hard.</w:t>
      </w:r>
    </w:p>
    <w:p>
      <w:pPr>
        <w:spacing w:before="200" w:after="80"/>
      </w:pPr>
      <w:r>
        <w:rPr>
          <w:b/>
          <w:color w:val="1F3864"/>
          <w:sz w:val="24"/>
        </w:rPr>
        <w:t>Q1 · Which channels and group chats are in initial Aara scope?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Raja (Product)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Jun 2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Phase-0 alpha (Jun 9)    </w:t>
      </w:r>
    </w:p>
    <w:p>
      <w:pPr>
        <w:spacing w:after="80"/>
      </w:pPr>
      <w:r>
        <w:rPr>
          <w:b/>
        </w:rPr>
        <w:t xml:space="preserve">Context. </w:t>
      </w:r>
      <w:r>
        <w:t>PRD §5 Mode A requires a designated channel list. We do not have one yet from the project lead. The list anchors alpha scope — too narrow and we miss signal, too broad and we capture banter.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Start with 2 channels for alpha (BCLM-eng + BCLM-leads), expand at beta (recommended).</w:t>
      </w:r>
    </w:p>
    <w:p>
      <w:pPr>
        <w:pStyle w:val="ListBullet"/>
        <w:spacing w:after="60"/>
      </w:pPr>
      <w:r>
        <w:t>Add all 5 known BCLM-prefixed channels day one (more signal, more noise risk).</w:t>
      </w:r>
    </w:p>
    <w:p>
      <w:pPr>
        <w:pStyle w:val="ListBullet"/>
        <w:spacing w:after="60"/>
      </w:pPr>
      <w:r>
        <w:t>Defer the decision and let the admin add channels at install time (works but no calibration).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Two channels for alpha: BCLM-eng and BCLM-leads. Expand to BCLM-vendor, BCLM-status, and BCLM-design at beta after the recall metric is measured.</w:t>
      </w:r>
    </w:p>
    <w:p>
      <w:pPr>
        <w:spacing w:before="200" w:after="80"/>
      </w:pPr>
      <w:r>
        <w:rPr>
          <w:b/>
          <w:color w:val="1F3864"/>
          <w:sz w:val="24"/>
        </w:rPr>
        <w:t>Q8 · Planner write-back: bidirectional in v1, or one-way in v1.1?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Raja (Product)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Jul 7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Phase-1.1 (Aug)    </w:t>
      </w:r>
    </w:p>
    <w:p>
      <w:pPr>
        <w:spacing w:after="80"/>
      </w:pPr>
      <w:r>
        <w:rPr>
          <w:b/>
        </w:rPr>
        <w:t xml:space="preserve">Context. </w:t>
      </w:r>
      <w:r>
        <w:t>PRD §9 lists Microsoft Planner write-back as a v1.1 capability. The question is whether we sync only bot → Planner (one-way) or also let Planner status changes reflect back into the Aara digest (bidirectional).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One-way (bot → Planner) in v1.1 (recommended — simpler, lower risk).</w:t>
      </w:r>
    </w:p>
    <w:p>
      <w:pPr>
        <w:pStyle w:val="ListBullet"/>
        <w:spacing w:after="60"/>
      </w:pPr>
      <w:r>
        <w:t>Bidirectional in v1.1 (more useful for power users but adds reconciliation complexity).</w:t>
      </w:r>
    </w:p>
    <w:p>
      <w:pPr>
        <w:pStyle w:val="ListBullet"/>
        <w:spacing w:after="60"/>
      </w:pPr>
      <w:r>
        <w:t>Defer all Planner integration to v2 (loses a clear v1.1 win).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One-way write-back in v1.1. Reconsider bidirectional for v2 once Planner usage data is measured.</w:t>
      </w:r>
    </w:p>
    <w:p>
      <w:pPr>
        <w:spacing w:before="200" w:after="80"/>
      </w:pPr>
      <w:r>
        <w:rPr>
          <w:b/>
          <w:color w:val="1F3864"/>
          <w:sz w:val="24"/>
        </w:rPr>
        <w:t>Q10 · Authorization model for /Aara channels add?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Raja (Product)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Jun 2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Phase-0 alpha (Jun 9)    </w:t>
      </w:r>
    </w:p>
    <w:p>
      <w:pPr>
        <w:spacing w:after="80"/>
      </w:pPr>
      <w:r>
        <w:rPr>
          <w:b/>
        </w:rPr>
        <w:t xml:space="preserve">Context. </w:t>
      </w:r>
      <w:r>
        <w:t>PRD §6.5 grants channel-management to the Aara admin role. The open question is whether anyone in a designated channel can run /Aara channels add, or only a named admin.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Anyone in the channel (more flexible, more risk of accidental scope creep).</w:t>
      </w:r>
    </w:p>
    <w:p>
      <w:pPr>
        <w:pStyle w:val="ListBullet"/>
        <w:spacing w:after="60"/>
      </w:pPr>
      <w:r>
        <w:t>Named Aara admin role only (recommended — fewer accidents, clear accountability).</w:t>
      </w:r>
    </w:p>
    <w:p>
      <w:pPr>
        <w:pStyle w:val="ListBullet"/>
        <w:spacing w:after="60"/>
      </w:pPr>
      <w:r>
        <w:t>Team owner-only (works but admin and team-owner are often different people).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Named Aara admin role only. Admin is assigned by the BCLM project lead at install time. Anyone can run read-only commands like /Aara summary.</w:t>
      </w:r>
    </w:p>
    <w:p>
      <w:pPr>
        <w:spacing w:before="200" w:after="80"/>
      </w:pPr>
      <w:r>
        <w:rPr>
          <w:b/>
          <w:color w:val="1F3864"/>
          <w:sz w:val="24"/>
        </w:rPr>
        <w:t>Q12 · Non-English language content in v1?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Raja (Product)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Jun 2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Phase-0 alpha (Jun 9)    </w:t>
      </w:r>
    </w:p>
    <w:p>
      <w:pPr>
        <w:spacing w:after="80"/>
      </w:pPr>
      <w:r>
        <w:rPr>
          <w:b/>
        </w:rPr>
        <w:t xml:space="preserve">Context. </w:t>
      </w:r>
      <w:r>
        <w:t>Aara messages in the AT&amp;T tenant are predominantly English, but some cross-functional chats include other languages. The pinned AskAT&amp;T model presumably supports multilingual extraction; the question is whether we test for it.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English-only v1, revisit at beta if non-English content shows up (recommended — keeps alpha scope small).</w:t>
      </w:r>
    </w:p>
    <w:p>
      <w:pPr>
        <w:pStyle w:val="ListBullet"/>
        <w:spacing w:after="60"/>
      </w:pPr>
      <w:r>
        <w:t>Multilingual v1 (more testing surface, no clear demand signal yet).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English-only v1. Add multilingual scope to the v2 backlog if beta surfaces a real use case.</w:t>
      </w:r>
    </w:p>
    <w:p>
      <w:pPr>
        <w:spacing w:before="360" w:after="160"/>
      </w:pPr>
      <w:r>
        <w:rPr>
          <w:b/>
          <w:color w:val="1F3864"/>
          <w:sz w:val="40"/>
        </w:rPr>
        <w:t>6. Compliance (1 decision, owner: Compliance / Records)</w:t>
      </w:r>
    </w:p>
    <w:p>
      <w:pPr>
        <w:spacing w:before="200" w:after="80"/>
      </w:pPr>
      <w:r>
        <w:rPr>
          <w:b/>
          <w:color w:val="1F3864"/>
          <w:sz w:val="24"/>
        </w:rPr>
        <w:t>Q9 · Retention policy on raw messages vs. extracted items?</w:t>
      </w:r>
    </w:p>
    <w:p>
      <w:pPr>
        <w:spacing w:after="80"/>
      </w:pPr>
      <w:r>
        <w:rPr>
          <w:b/>
          <w:color w:val="605E5C"/>
          <w:sz w:val="20"/>
        </w:rPr>
        <w:t xml:space="preserve">Owner: </w:t>
      </w:r>
      <w:r>
        <w:rPr>
          <w:color w:val="201F1E"/>
          <w:sz w:val="20"/>
        </w:rPr>
        <w:t xml:space="preserve">Compliance / Records    </w:t>
      </w:r>
      <w:r>
        <w:rPr>
          <w:b/>
          <w:color w:val="605E5C"/>
          <w:sz w:val="20"/>
        </w:rPr>
        <w:t xml:space="preserve">Due: </w:t>
      </w:r>
      <w:r>
        <w:rPr>
          <w:color w:val="201F1E"/>
          <w:sz w:val="20"/>
        </w:rPr>
        <w:t xml:space="preserve">Jun 2    </w:t>
      </w:r>
      <w:r>
        <w:rPr>
          <w:b/>
          <w:color w:val="605E5C"/>
          <w:sz w:val="20"/>
        </w:rPr>
        <w:t xml:space="preserve">Blocks: </w:t>
      </w:r>
      <w:r>
        <w:rPr>
          <w:color w:val="201F1E"/>
          <w:sz w:val="20"/>
        </w:rPr>
        <w:t xml:space="preserve">Phase-0 alpha (Jun 9)    </w:t>
      </w:r>
    </w:p>
    <w:p>
      <w:pPr>
        <w:spacing w:after="80"/>
      </w:pPr>
      <w:r>
        <w:rPr>
          <w:b/>
        </w:rPr>
        <w:t xml:space="preserve">Context. </w:t>
      </w:r>
      <w:r>
        <w:t>PRD §10 proposes 90-day raw message retention and indefinite extracted-item retention (until the project is archived). Compliance needs to confirm both numbers fit AT&amp;T records-management policy and any applicable regulations.</w:t>
      </w:r>
    </w:p>
    <w:p>
      <w:pPr>
        <w:spacing w:after="40"/>
      </w:pPr>
      <w:r>
        <w:rPr>
          <w:b/>
        </w:rPr>
        <w:t>Options.</w:t>
      </w:r>
    </w:p>
    <w:p>
      <w:pPr>
        <w:pStyle w:val="ListBullet"/>
        <w:spacing w:after="60"/>
      </w:pPr>
      <w:r>
        <w:t>90-day raw / indefinite extracted (PRD default — recommended).</w:t>
      </w:r>
    </w:p>
    <w:p>
      <w:pPr>
        <w:pStyle w:val="ListBullet"/>
        <w:spacing w:after="60"/>
      </w:pPr>
      <w:r>
        <w:t>30-day raw / 12-month extracted (more conservative; loses long-tail recall).</w:t>
      </w:r>
    </w:p>
    <w:p>
      <w:pPr>
        <w:pStyle w:val="ListBullet"/>
        <w:spacing w:after="60"/>
      </w:pPr>
      <w:r>
        <w:t>No raw retention at all — extract-then-discard (lowest privacy risk; impossible to re-extract if the LLM is bad).</w:t>
      </w:r>
    </w:p>
    <w:p>
      <w:pPr>
        <w:spacing w:after="160"/>
      </w:pPr>
      <w:r>
        <w:rPr>
          <w:b/>
          <w:color w:val="107C10"/>
        </w:rPr>
        <w:t xml:space="preserve">Recommendation. </w:t>
      </w:r>
      <w:r>
        <w:t>Confirm PRD defaults. If Compliance pushes for shorter, propose 30-day raw / 24-month extracted as a fallback.</w:t>
      </w:r>
    </w:p>
    <w:p>
      <w:pPr>
        <w:spacing w:before="360" w:after="160"/>
      </w:pPr>
      <w:r>
        <w:rPr>
          <w:b/>
          <w:color w:val="1F3864"/>
          <w:sz w:val="40"/>
        </w:rPr>
        <w:t>7. Cadence</w:t>
      </w:r>
    </w:p>
    <w:p>
      <w:pPr>
        <w:pStyle w:val="ListBullet"/>
        <w:spacing w:after="60"/>
      </w:pPr>
      <w:r>
        <w:t>Weekly review every Monday until all 12 are closed. Owner: Raja. Time-boxed to 15 min.</w:t>
      </w:r>
    </w:p>
    <w:p>
      <w:pPr>
        <w:pStyle w:val="ListBullet"/>
        <w:spacing w:after="60"/>
      </w:pPr>
      <w:r>
        <w:t>Each decision moves to status Pending Review once an option is recommended by the owner, Closed once accepted by leadership.</w:t>
      </w:r>
    </w:p>
    <w:p>
      <w:pPr>
        <w:pStyle w:val="ListBullet"/>
        <w:spacing w:after="60"/>
      </w:pPr>
      <w:r>
        <w:t>This memo is the single source of truth — do not let decisions live in chat. Status is mirrored in the PRD §15 at each PRD version bump.</w:t>
      </w:r>
    </w:p>
    <w:p>
      <w:pPr>
        <w:pStyle w:val="ListBullet"/>
        <w:spacing w:after="60"/>
      </w:pPr>
      <w:r>
        <w:t>If a decision misses its due date, the owner notes the slip and a new date on this memo, with the downstream impact called out.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