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UNIVERSIDADE FEDERAL DE PERNAMBUCO</w:t>
      </w:r>
    </w:p>
    <w:p>
      <w:pPr>
        <w:spacing w:after="60" w:line="3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CENTRO DE INFORMÁTICA</w:t>
      </w:r>
    </w:p>
    <w:p>
      <w:pPr>
        <w:spacing w:after="1400" w:line="30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Introdução à Engenharia de Sistemas de Informação (IESI)</w:t>
      </w:r>
    </w:p>
    <w:p>
      <w:pPr>
        <w:spacing w:after="120" w:line="3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PROJETO DA DISCIPLINA — ENTREGA 1</w:t>
      </w:r>
    </w:p>
    <w:p>
      <w:pPr>
        <w:spacing w:after="500" w:line="3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Problema e Diagnóstico Inicial</w:t>
      </w:r>
    </w:p>
    <w:p>
      <w:pPr>
        <w:spacing w:after="100" w:line="3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MedEscala</w:t>
      </w:r>
    </w:p>
    <w:p>
      <w:pPr>
        <w:spacing w:after="1400" w:line="30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Plataforma de intermediação, formalização e rastreabilidade de plantões médicos e de repasses entre médicos</w:t>
      </w:r>
    </w:p>
    <w:p>
      <w:pPr>
        <w:spacing w:after="140" w:line="3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Equipe</w:t>
      </w:r>
    </w:p>
    <w:p>
      <w:pPr>
        <w:spacing w:after="1600" w:line="30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Aline  •  Breno  •  Henrique  •  Johnny  •  Nathan  •  Samuel  •  Stela</w:t>
      </w:r>
    </w:p>
    <w:p>
      <w:pPr>
        <w:spacing w:after="60" w:line="30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Recife — PE</w:t>
      </w:r>
    </w:p>
    <w:p>
      <w:pPr>
        <w:spacing w:after="0" w:line="30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Setembro de 2026</w:t>
      </w:r>
    </w:p>
    <w:p>
      <w:r>
        <w:br w:type="page"/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Sumário</w:t>
      </w:r>
    </w:p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1. Introdução e objetivo do documento</w:t>
      </w:r>
    </w:p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2. Metodologia do diagnóstico</w:t>
      </w:r>
    </w:p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3. Contexto: o mercado de plantões médicos no Brasil</w:t>
      </w:r>
    </w:p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4. Descrição do problema</w:t>
      </w:r>
    </w:p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5. Enquadramento ético, jurídico e fiscal do repasse</w:t>
      </w:r>
    </w:p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6. Soluções existentes e lacuna identificada</w:t>
      </w:r>
    </w:p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7. Visão geral da solução proposta</w:t>
      </w:r>
    </w:p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8. Identificação das funções principais</w:t>
      </w:r>
    </w:p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9. Uso de assistentes de Inteligência Artificial no projeto</w:t>
      </w:r>
    </w:p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10. Próximos passos</w:t>
      </w:r>
    </w:p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11. Referências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Introdução e objetivo do documento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Este documento corresponde à Entrega 1 do projeto da disciplina de Introdução à Engenharia de Sistemas de Informação e tem por objetivo apresentar a descrição do problema escolhido pela equipe e a identificação das funções principais do sistema de informação proposto como solução.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problema tratado é a informalidade estrutural do mercado de plantões médicos no Brasil, com foco particular em um de seus arranjos mais frágeis: o repasse de plantão, isto é, a prática pela qual um médico escalado transfere a outro colega a execução de um plantão que assumiu, quase sempre por meio de acordo verbal ou de mensagens em aplicativos, sem registro na escala oficial, sem contrato e sem documento fiscal correspondente ao valor transferido.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escolha do tema partiu de uma constatação simples: o mercado que move a assistência de urgência e emergência no país opera, em larga medida, sobre grupos de WhatsApp, planilhas e confiança pessoal. Esse arranjo produz efeitos que vão além da inconveniência operacional — ele gera risco ético e disciplinar para o médico, risco assistencial para o paciente, risco jurídico e financeiro para as instituições e perda de arrecadação e de rastreabilidade para o Estado.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documento está organizado de modo incremental, conforme previsto no plano do projeto: as seções 2 a 6 consolidam o diagnóstico; as seções 7 e 8 apresentam a visão inicial da solução e a decomposição funcional que será refinada nas entregas seguintes (modelagem de processos, arquitetura de SI, implementação e implantação); a seção 9 registra o uso de assistentes de IA, conforme exigido pelo enunciado.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Metodologia do diagnóstico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diagnóstico foi construído a partir de quatro frentes complementares, descritas a seguir. As três primeiras já foram executadas e sustentam o conteúdo deste documento; a quarta está em execução e alimentará a Entrega 2.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Pesquisa documental e normativa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Levantamento em fontes primárias e secundárias sobre: (i) regras éticas aplicáveis ao plantão e à substituição de plantonistas (Código de Ética Médica e resoluções do CFM, manifestações de Conselhos Regionais); (ii) jurisprudência e literatura jurídica sobre inadimplemento de plantões e validade de trocas informais; (iii) legislação e atos normativos fiscais aplicáveis à prestação de serviços médicos e a plataformas digitais de intermediação; (iv) dados de mercado de trabalho médico, especialmente o estudo Demografia Médica no Brasil 2025.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Observação de canais informais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Observação direta do funcionamento dos canais em que o mercado efetivamente opera: grupos de WhatsApp e Telegram de divulgação de plantões, páginas de vagas e anúncios de repasse. Foram registrados os padrões recorrentes de publicação (vaga divulgada em texto livre, sem padronização de valor, local, carga horária ou requisitos), a dinâmica de disputa por ordem de resposta e a ausência de qualquer registro formal da negociação.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Benchmarking de soluções existentes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Análise das plataformas já disponíveis no mercado brasileiro (seção 6), com foco em identificar o que já está resolvido — e, portanto, não deve ser reinventado — e qual é a lacuna efetiva que justifica a proposta da equipe.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Entrevistas semiestruturadas (em execução)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Está prevista a realização de entrevistas com três perfis, com meta mínima de doze participantes: médicos plantonistas (incluindo recém-formados e médicos com múltiplos vínculos), responsáveis por escala (chefias de serviço e coordenações médicas) e profissionais das áreas administrativa, de contratos e de faturamento de instituições de saúde. O roteiro-base é apresentado no Quadro 1.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1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Eixo</w:t>
            </w:r>
          </w:p>
        </w:tc>
        <w:tc>
          <w:tcPr>
            <w:tcW w:type="dxa" w:w="7071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Perguntas-guia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 atual</w:t>
            </w:r>
          </w:p>
        </w:tc>
        <w:tc>
          <w:tcPr>
            <w:tcW w:type="dxa" w:w="70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você consegue plantões hoje? Por quais canais? Quanto tempo por semana isso consome? Como é definido o valor?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Repasse</w:t>
            </w:r>
          </w:p>
        </w:tc>
        <w:tc>
          <w:tcPr>
            <w:tcW w:type="dxa" w:w="70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Você já repassou ou assumiu um plantão de outro médico? Como foi combinado? Quem pagou quem? A chefia foi comunicada? Houve registro formal?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Confiança e risco</w:t>
            </w:r>
          </w:p>
        </w:tc>
        <w:tc>
          <w:tcPr>
            <w:tcW w:type="dxa" w:w="70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Já houve calote, no-show ou desistência de última hora? Qual foi a consequência? Como você decide em quem confiar?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Formalização</w:t>
            </w:r>
          </w:p>
        </w:tc>
        <w:tc>
          <w:tcPr>
            <w:tcW w:type="dxa" w:w="70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você emite documento fiscal pelos plantões? O que muda quando o pagamento vem de outro médico e não da instituição? Onde estão as maiores dificuldades?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Instituição</w:t>
            </w:r>
          </w:p>
        </w:tc>
        <w:tc>
          <w:tcPr>
            <w:tcW w:type="dxa" w:w="70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 unidade controla quem efetivamente cobriu cada plantão? O que acontece quando quem comparece não é quem está na escala?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Expectativa</w:t>
            </w:r>
          </w:p>
        </w:tc>
        <w:tc>
          <w:tcPr>
            <w:tcW w:type="dxa" w:w="70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que uma ferramenta precisaria fazer para você deixar os grupos de WhatsApp? O que ela não pode fazer de jeito nenhum?</w:t>
            </w:r>
          </w:p>
        </w:tc>
      </w:tr>
    </w:tbl>
    <w:p>
      <w:pPr>
        <w:spacing w:after="240" w:before="90"/>
        <w:jc w:val="lef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Quadro 1 — Roteiro-base das entrevistas semiestruturadas.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Limitação metodológica reconhecida: neste primeiro momento, o diagnóstico se apoia predominantemente em fontes documentais e em observação de canais públicos. As conclusões aqui apresentadas serão confirmadas, ajustadas ou refutadas pelos resultados das entrevistas, que serão incorporados à Entrega 2.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Contexto: o mercado de plantões médicos no Brasil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estudo Demografia Médica no Brasil 2025, conduzido pela FMUSP em parceria com o Ministério da Saúde e a AMB, estima o contingente médico brasileiro em torno de 573 mil profissionais, com razão aproximada de 2,98 médicos por mil habitantes e projeção de ultrapassar 1,15 milhão de profissionais até 2035. Esse crescimento é acompanhado por uma mudança relevante na natureza do vínculo: segundo dados da RAIS reportados pelo mesmo estudo, a parcela de médicos com vínculo formal de trabalho caiu de cerca de 54% em 2012 para aproximadamente 33% em 2023.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Na prática, isso significa que a maior parte da força de trabalho médica atua por contratos de prestação de serviços — em regra por meio de pessoa jurídica própria, quando não em arranjos ainda menos formalizados — e compõe a própria renda somando plantões em múltiplas unidades. O plantão deixou de ser complemento e passou a ser a unidade econômica central da carreira de uma parcela expressiva da categoria, especialmente entre médicos mais jovens e generalistas.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Do lado da demanda, estimativas do setor apontam para a ordem de seis mil serviços de urgência e emergência somente na rede pública, cada um com escalas mensais compostas por dez a quinze profissionais, o que coloca dezenas de milhares de posições de plantão em disputa e recomposição contínuas, sete dias por semana, incluindo madrugadas e feriados.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infraestrutura que sustenta esse volume, contudo, permaneceu artesanal. Vagas são divulgadas em grupos de mensagens, escalas são mantidas em planilhas, a seleção do profissional é feita por ordem de chegada da resposta e o histórico da negociação não é registrado em lugar nenhum. A própria imprensa especializada e as startups que atuam no setor descrevem esse cenário como um mercado que cresceu sobre relações informais e que herdou essa informalidade em todos os seus processos derivados — inclusive na troca e no repasse de turnos.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Descrição do problema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O processo atual (as-is)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partir da observação dos canais informais e da literatura consultada, o fluxo típico pode ser descrito em sete passos: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 instituição (hospital, UPA, clínica, cooperativa ou organização social) identifica um turno descoberto e envia a vaga para um ou mais grupos de mensagens, em texto livre.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Dezenas ou centenas de médicos recebem a mensagem simultaneamente; a vaga é atribuída, em geral, ao primeiro que responde, e não ao mais adequado ao perfil exigido.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 acerto de valor, carga horária e forma de pagamento ocorre em conversa privada, sem padronização e sem registro estruturado.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 médico é incluído na escala; a documentação (CRM, certificados, contrato, dados de faturamento) é enviada por mensagem ou e-mail, sem verificação sistemática.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Surgindo um imprevisto, o médico escalado procura um substituto — quase sempre no mesmo grupo ou em sua rede pessoal — e combina diretamente com ele o repasse do plantão e do respectivo valor.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Na maior parte dos casos, a instituição não é formalmente comunicada, ou é comunicada apenas por mensagem informal, sem alteração da escala oficial e sem aprovação expressa da chefia.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 pagamento é feito pela instituição ao médico originalmente escalado, que transfere ao substituto — normalmente por Pix, sem contrato, sem nota fiscal e sem qualquer documento que vincule o pagamento à prestação do serviço.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Declaração do problema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mercado de plantões médicos brasileiro movimenta um volume expressivo de trabalho e de recursos por meio de um processo informal, não rastreável e juridicamente frágil. A ausência de um canal único que reúna divulgação, seleção por critérios objetivos, aprovação institucional, registro na escala oficial, formalização contratual, emissão de documento fiscal e garantia de pagamento faz com que médicos, instituições e pacientes suportem riscos que decorrem exclusivamente da forma como o processo é conduzido — e não da atividade em si. O repasse entre médicos é o ponto em que todas essas fragilidades se acumulam simultaneamente.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Dores por ator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71"/>
      </w:tblGrid>
      <w:tr>
        <w:trPr>
          <w:tblHeader/>
        </w:trPr>
        <w:tc>
          <w:tcPr>
            <w:tcW w:type="dxa" w:w="21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Ator</w:t>
            </w:r>
          </w:p>
        </w:tc>
        <w:tc>
          <w:tcPr>
            <w:tcW w:type="dxa" w:w="6971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Principais dores identificadas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Médico plantonista</w:t>
            </w:r>
          </w:p>
        </w:tc>
        <w:tc>
          <w:tcPr>
            <w:tcW w:type="dxa" w:w="69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Tempo elevado dedicado ao monitoramento de múltiplos grupos; disputa por velocidade de resposta e não por qualificação; opacidade de valores; ausência de garantia de recebimento; atraso e inadimplemento recorrentes; dificuldade de comprovar renda para crédito e financiamento.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Médico que repassa o plantão</w:t>
            </w:r>
          </w:p>
        </w:tc>
        <w:tc>
          <w:tcPr>
            <w:tcW w:type="dxa" w:w="69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Permanece responsável, ética e contratualmente, por um plantão que não executará; risco disciplinar se o substituto não comparecer; recebe valor que não lhe pertence economicamente e sobre o qual, ainda assim, é tributado; não tem instrumento para comprovar a transferência.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Médico substituto</w:t>
            </w:r>
          </w:p>
        </w:tc>
        <w:tc>
          <w:tcPr>
            <w:tcW w:type="dxa" w:w="69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Presta serviço sem contrato e sem documento fiscal; não tem como cobrar judicialmente com segurança; recebe rendimento sem lastro documental, o que compromete a própria declaração; fica fora do registro oficial da unidade em que efetivamente trabalhou.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Instituição / chefia de escala</w:t>
            </w:r>
          </w:p>
        </w:tc>
        <w:tc>
          <w:tcPr>
            <w:tcW w:type="dxa" w:w="69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Escala preenchida sem trilha de auditoria; profissional presente pode não ser o registrado; dificuldade de conferir requisitos e regularidade do CRM; risco de responsabilização civil e de questionamento de vínculo empregatício; retrabalho administrativo no faturamento.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Paciente e sistema de saúde</w:t>
            </w:r>
          </w:p>
        </w:tc>
        <w:tc>
          <w:tcPr>
            <w:tcW w:type="dxa" w:w="69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Turnos descobertos ou cobertos por profissional sem o perfil exigido; descontinuidade na passagem de plantão; menor rastreabilidade de quem prestou a assistência.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Administração tributária</w:t>
            </w:r>
          </w:p>
        </w:tc>
        <w:tc>
          <w:tcPr>
            <w:tcW w:type="dxa" w:w="69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Circulação de valores relevantes sem emissão de documento fiscal, sem retenção na fonte e sem possibilidade de cruzamento de informações.</w:t>
            </w:r>
          </w:p>
        </w:tc>
      </w:tr>
    </w:tbl>
    <w:p>
      <w:pPr>
        <w:spacing w:after="240" w:before="90"/>
        <w:jc w:val="lef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Quadro 2 — Mapa de dores por ator envolvido no processo.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O repasse como núcleo do problema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repasse concentra três camadas de risco que se reforçam mutuamente.</w:t>
      </w:r>
    </w:p>
    <w:p>
      <w:pPr>
        <w:spacing w:after="12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Camada ética e disciplinar. </w:t>
      </w:r>
      <w:r>
        <w:rPr>
          <w:rFonts w:ascii="Arial" w:cs="Arial" w:eastAsia="Arial" w:hAnsi="Arial"/>
          <w:sz w:val="22"/>
          <w:szCs w:val="22"/>
        </w:rPr>
        <w:t xml:space="preserve">O Código de Ética Médica veda ao médico deixar de comparecer a plantão em horário preestabelecido ou abandoná-lo sem a presença de substituto, salvo justo impedimento. A substituição, portanto, não é um ajuste privado entre colegas: ela depende de registro formal na escala oficial da unidade e de autorização da chefia. Especialistas em direito médico são explícitos ao afirmar que a combinação feita apenas por mensagem não tem respaldo jurídico, e há decisão do TJDFT (Acórdão nº 941109) reconhecendo a ilicitude da troca informal de plantões, ainda que se trate de prática disseminada.</w:t>
      </w:r>
    </w:p>
    <w:p>
      <w:pPr>
        <w:spacing w:after="12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Camada contratual e financeira. </w:t>
      </w:r>
      <w:r>
        <w:rPr>
          <w:rFonts w:ascii="Arial" w:cs="Arial" w:eastAsia="Arial" w:hAnsi="Arial"/>
          <w:sz w:val="22"/>
          <w:szCs w:val="22"/>
        </w:rPr>
        <w:t xml:space="preserve">Sem contrato entre titular e substituto e sem comunicação formal à instituição, não há instrumento que permita cobrar o pagamento, comprovar a prestação do serviço ou distribuir responsabilidades em caso de dano. O substituto trabalha confiando que receberá; o titular responde por um plantão que não executou.</w:t>
      </w:r>
    </w:p>
    <w:p>
      <w:pPr>
        <w:spacing w:after="12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Camada fiscal. </w:t>
      </w:r>
      <w:r>
        <w:rPr>
          <w:rFonts w:ascii="Arial" w:cs="Arial" w:eastAsia="Arial" w:hAnsi="Arial"/>
          <w:sz w:val="22"/>
          <w:szCs w:val="22"/>
        </w:rPr>
        <w:t xml:space="preserve">O valor do plantão é pago pela instituição ao médico titular, normalmente contra nota fiscal emitida por sua pessoa jurídica, e depois transferido ao substituto sem qualquer documento. O titular é tributado sobre uma receita que não é sua; o substituto aufere rendimento não declarado. Esse arranjo, quando reiterado, se aproxima da hipótese de crime contra a ordem tributária prevista na Lei nº 8.137/1990 e sujeita os envolvidos a autuação com multa que pode alcançar 150% do tributo devido, além de juros.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 Causas-raiz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Fragmentação de canais: </w:t>
      </w:r>
      <w:r>
        <w:rPr>
          <w:rFonts w:ascii="Arial" w:cs="Arial" w:eastAsia="Arial" w:hAnsi="Arial"/>
          <w:sz w:val="22"/>
          <w:szCs w:val="22"/>
        </w:rPr>
        <w:t xml:space="preserve">não existe um ponto único de encontro entre oferta e demanda; a informação circula em dezenas de grupos paralelos e sobrepostos.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Ausência de identidade profissional verificada: </w:t>
      </w:r>
      <w:r>
        <w:rPr>
          <w:rFonts w:ascii="Arial" w:cs="Arial" w:eastAsia="Arial" w:hAnsi="Arial"/>
          <w:sz w:val="22"/>
          <w:szCs w:val="22"/>
        </w:rPr>
        <w:t xml:space="preserve">não há, no fluxo informal, verificação sistemática de CRM, especialidade, certificações e regularidade do prestador.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Inexistência de registro e trilha de auditoria: </w:t>
      </w:r>
      <w:r>
        <w:rPr>
          <w:rFonts w:ascii="Arial" w:cs="Arial" w:eastAsia="Arial" w:hAnsi="Arial"/>
          <w:sz w:val="22"/>
          <w:szCs w:val="22"/>
        </w:rPr>
        <w:t xml:space="preserve">a negociação, o aceite e a substituição não deixam rastro consultável, o que impede responsabilização e aprendizado institucional.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Descolamento entre fluxo de trabalho e fluxo financeiro: </w:t>
      </w:r>
      <w:r>
        <w:rPr>
          <w:rFonts w:ascii="Arial" w:cs="Arial" w:eastAsia="Arial" w:hAnsi="Arial"/>
          <w:sz w:val="22"/>
          <w:szCs w:val="22"/>
        </w:rPr>
        <w:t xml:space="preserve">quem executa o serviço não é, necessariamente, quem recebe da instituição — e não há mecanismo que reconcilie as duas pontas.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 e complexidade da formalização: </w:t>
      </w:r>
      <w:r>
        <w:rPr>
          <w:rFonts w:ascii="Arial" w:cs="Arial" w:eastAsia="Arial" w:hAnsi="Arial"/>
          <w:sz w:val="22"/>
          <w:szCs w:val="22"/>
        </w:rPr>
        <w:t xml:space="preserve">emitir documento fiscal para cada plantão, em municípios distintos e com regras diferentes de retenção, é oneroso o bastante para que a informalidade se torne o caminho de menor esforço.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Assimetria de poder e de informação: </w:t>
      </w:r>
      <w:r>
        <w:rPr>
          <w:rFonts w:ascii="Arial" w:cs="Arial" w:eastAsia="Arial" w:hAnsi="Arial"/>
          <w:sz w:val="22"/>
          <w:szCs w:val="22"/>
        </w:rPr>
        <w:t xml:space="preserve">o médico raramente conhece o histórico de pagamento da instituição contratante, e a instituição raramente conhece o histórico de comparecimento do médico.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 Consequências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As consequências observadas são cumulativas: perda de tempo produtivo do médico; alocação ineficiente de profissionais em relação ao perfil das vagas; inadimplemento e judicialização — uma busca por cobrança de plantões médicos em bases de jurisprudência retorna milhares de resultados, e conselhos regionais relatam denúncias recorrentes de calote; turnos descobertos e jornadas que excedem os limites recomendados, com impacto direto na segurança do paciente; exposição disciplinar do médico que repassa; insegurança jurídica para a instituição, inclusive quanto ao reconhecimento de vínculo empregatício; e evasão fiscal não intencional na ponta do repasse.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4.7 Delimitação do escopo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Estão no escopo do sistema proposto: cadastro e verificação de médicos e instituições; declaração de disponibilidade; publicação de vagas de plantão e de repasse; seleção com critérios objetivos e reputação; fluxo de aprovação institucional da substituição; geração de instrumentos contratuais; apoio à emissão de documento fiscal; gestão do pagamento com retenção em garantia; e trilha de auditoria da escala.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Estão fora do escopo: prontuário eletrônico, qualquer dado clínico de paciente, telemedicina, folha de pagamento CLT das instituições, escrituração contábil completa das partes e emissão direta de documentos fiscais pela plataforma em nome de terceiros sem integração com os emissores oficiais.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4.8 Premissas e restrições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Premissa: </w:t>
      </w:r>
      <w:r>
        <w:rPr>
          <w:rFonts w:ascii="Arial" w:cs="Arial" w:eastAsia="Arial" w:hAnsi="Arial"/>
          <w:sz w:val="22"/>
          <w:szCs w:val="22"/>
        </w:rPr>
        <w:t xml:space="preserve">a maioria dos médicos plantonistas atua como pessoa jurídica ou como autônomo, e não como empregado celetista da unidade em que faz o plantão.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Premissa: </w:t>
      </w:r>
      <w:r>
        <w:rPr>
          <w:rFonts w:ascii="Arial" w:cs="Arial" w:eastAsia="Arial" w:hAnsi="Arial"/>
          <w:sz w:val="22"/>
          <w:szCs w:val="22"/>
        </w:rPr>
        <w:t xml:space="preserve">as instituições têm interesse em reduzir turnos descobertos e litígio, e aceitam participar do fluxo de aprovação digital da substituição.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Restrição: </w:t>
      </w:r>
      <w:r>
        <w:rPr>
          <w:rFonts w:ascii="Arial" w:cs="Arial" w:eastAsia="Arial" w:hAnsi="Arial"/>
          <w:sz w:val="22"/>
          <w:szCs w:val="22"/>
        </w:rPr>
        <w:t xml:space="preserve">nenhuma substituição pode ser concluída sem aprovação da instituição responsável pela escala — isso é imposição ética e jurídica, não opção de produto.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Restrição: </w:t>
      </w:r>
      <w:r>
        <w:rPr>
          <w:rFonts w:ascii="Arial" w:cs="Arial" w:eastAsia="Arial" w:hAnsi="Arial"/>
          <w:sz w:val="22"/>
          <w:szCs w:val="22"/>
        </w:rPr>
        <w:t xml:space="preserve">a plataforma não pode definir jornada, exigir exclusividade ou exercer poder diretivo sobre o médico, sob pena de caracterizar vínculo empregatício.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Restrição: </w:t>
      </w:r>
      <w:r>
        <w:rPr>
          <w:rFonts w:ascii="Arial" w:cs="Arial" w:eastAsia="Arial" w:hAnsi="Arial"/>
          <w:sz w:val="22"/>
          <w:szCs w:val="22"/>
        </w:rPr>
        <w:t xml:space="preserve">o tratamento de dados pessoais observa a LGPD; dados de pacientes não trafegam no sistema.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Enquadramento ético, jurídico e fiscal do repasse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Esta seção consolida o levantamento normativo que orienta as decisões de produto. Ela tem finalidade de diagnóstico e não constitui parecer contábil ou jurídico; as regras aqui descritas serão validadas com profissionais das áreas contábil e de direito médico antes da modelagem definitiva.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O que a ética médica exige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Não é lícito abandonar plantão sem a presença do substituto, salvo justo impedimento; havendo ausência de plantonista substituto, cabe à direção técnica providenciar a substituição.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 substituição só é válida quando registrada na escala oficial da unidade e autorizada pela chefia. Acordos feitos exclusivamente por mensagens não produzem esse efeito.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 responsabilidade pelo turno acompanha o registro oficial: enquanto a escala não for alterada, o médico originalmente escalado permanece responsável.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Consequência de projeto: o fluxo de repasse do sistema é necessariamente triádico (titular → substituto → instituição), e não bilateral. A aprovação institucional é etapa obrigatória e bloqueante.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Modelos possíveis de formalização do repasse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Foram identificados quatro arranjos possíveis para a relação entre médico titular, médico substituto e instituição, com consequências fiscais distintas.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700"/>
        <w:gridCol w:w="2200"/>
        <w:gridCol w:w="2721"/>
      </w:tblGrid>
      <w:tr>
        <w:trPr>
          <w:tblHeader/>
        </w:trPr>
        <w:tc>
          <w:tcPr>
            <w:tcW w:type="dxa" w:w="145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Modelo</w:t>
            </w:r>
          </w:p>
        </w:tc>
        <w:tc>
          <w:tcPr>
            <w:tcW w:type="dxa" w:w="27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Como funciona</w:t>
            </w:r>
          </w:p>
        </w:tc>
        <w:tc>
          <w:tcPr>
            <w:tcW w:type="dxa" w:w="22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Documento fiscal</w:t>
            </w:r>
          </w:p>
        </w:tc>
        <w:tc>
          <w:tcPr>
            <w:tcW w:type="dxa" w:w="2721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Avaliação</w:t>
            </w:r>
          </w:p>
        </w:tc>
      </w:tr>
      <w:tr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— Substituição formal junto à instituição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instituição aprova a troca, altera a escala e passa a contratar diretamente o substituto pelo turno.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NFS-e (ou RPA) emitida pelo substituto contra a instituição, com as retenções aplicáveis.</w:t>
            </w:r>
          </w:p>
        </w:tc>
        <w:tc>
          <w:tcPr>
            <w:tcW w:type="dxa" w:w="2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Recomendado. Alinha fluxo de trabalho e fluxo financeiro; elimina a tributação de receita alheia; preserva a trilha de auditoria da escala.</w:t>
            </w:r>
          </w:p>
        </w:tc>
      </w:tr>
      <w:tr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 — Subcontratação entre médicos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titular mantém o contrato com a instituição e subcontrata o substituto como prestador.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NFS-e do substituto contra a PJ do titular, além da NFS-e do titular contra a instituição.</w:t>
            </w:r>
          </w:p>
        </w:tc>
        <w:tc>
          <w:tcPr>
            <w:tcW w:type="dxa" w:w="2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Aceitável quando a instituição não admite troca de prestador. Exige atenção: no Simples Nacional o custo não reduz a base de cálculo, gerando dupla tributação econômica do mesmo valor.</w:t>
            </w:r>
          </w:p>
        </w:tc>
      </w:tr>
      <w:tr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 — Repasse entre pessoas físicas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Titular pessoa física recebe e repassa a substituto pessoa física.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Recibo/Receita Saúde e recolhimento mensal via carnê-leão por ambos.</w:t>
            </w:r>
          </w:p>
        </w:tc>
        <w:tc>
          <w:tcPr>
            <w:tcW w:type="dxa" w:w="2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Oneroso e frágil. Alíquota progressiva de até 27,5% e risco de caracterização de intermediação habitual.</w:t>
            </w:r>
          </w:p>
        </w:tc>
      </w:tr>
      <w:tr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 — Repasse informal (Pix sem documento)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Transferência direta, sem contrato e sem documento fiscal. É o padrão atual do mercado.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Nenhum.</w:t>
            </w:r>
          </w:p>
        </w:tc>
        <w:tc>
          <w:tcPr>
            <w:tcW w:type="dxa" w:w="2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Inaceitável. Sonegação, com exposição a autuação, multa de até 150% e enquadramento na Lei nº 8.137/1990, além de ausência total de proteção jurídica.</w:t>
            </w:r>
          </w:p>
        </w:tc>
      </w:tr>
    </w:tbl>
    <w:p>
      <w:pPr>
        <w:spacing w:after="240" w:before="90"/>
        <w:jc w:val="lef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Quadro 3 — Modelos de formalização do repasse e respectivas consequências.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sistema proposto adota o Modelo A como caminho padrão e oferece o Modelo B como alternativa configurável, com alerta explícito sobre o efeito tributário. Os modelos C e D não são suportados pela plataforma.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Obrigações fiscais das partes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pessoa jurídica: </w:t>
      </w:r>
      <w:r>
        <w:rPr>
          <w:rFonts w:ascii="Arial" w:cs="Arial" w:eastAsia="Arial" w:hAnsi="Arial"/>
          <w:sz w:val="22"/>
          <w:szCs w:val="22"/>
        </w:rPr>
        <w:t xml:space="preserve">emissão de NFS-e no município de prestação do serviço, com destaque das retenções cabíveis — IRRF de 1,5% sobre o valor do serviço, retenção agregada de PIS/COFINS/CSLL de 4,65% nas hipóteses aplicáveis e ISS quando o município determinar retenção na fonte pelo tomador.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pessoa física: </w:t>
      </w:r>
      <w:r>
        <w:rPr>
          <w:rFonts w:ascii="Arial" w:cs="Arial" w:eastAsia="Arial" w:hAnsi="Arial"/>
          <w:sz w:val="22"/>
          <w:szCs w:val="22"/>
        </w:rPr>
        <w:t xml:space="preserve">rendimento sujeito ao carnê-leão; desde 2025 o recibo em papel perdeu validade para fins de Imposto de Renda, sendo o Receita Saúde, no aplicativo da Receita Federal ou no e-CAC, o meio de emissão para serviços prestados a pessoas físicas.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Instituição tomadora: </w:t>
      </w:r>
      <w:r>
        <w:rPr>
          <w:rFonts w:ascii="Arial" w:cs="Arial" w:eastAsia="Arial" w:hAnsi="Arial"/>
          <w:sz w:val="22"/>
          <w:szCs w:val="22"/>
        </w:rPr>
        <w:t xml:space="preserve">responsabilidade pelas retenções na fonte e pela guarda dos documentos fiscais correspondentes a cada plantão efetivamente prestado.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 Obrigações da plataforma como intermediadora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Lei Complementar nº 214/2025 e a Instrução Normativa RFB nº 2.331, de 23 de junho de 2026, delimitam o conceito de plataforma digital de intermediação: sites, aplicativos e ambientes digitais que atuam como intermediários e controlam elementos essenciais da operação, como cobrança, pagamento, definição de condições ou entrega. Um sistema que faça matching, intermedeie o pagamento e defina condições comerciais se enquadra nessa definição.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 remuneração da plataforma (comissão ou taxa de intermediação) está sujeita à retenção de IRRF à alíquota de 1,5%, em regra pela pessoa jurídica que efetua o pagamento.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 IN RFB nº 2.331/2026 faculta à plataforma que centraliza o fluxo financeiro optar pelo recolhimento antecipado do imposto, hipótese em que os tomadores ficam dispensados da retenção; a opção é formalizada na EFD-Reinf, tem validade anual e é irretratável no período.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 base de cálculo relevante é a remuneração da plataforma, e não o valor total da operação intermediada — distinção essencial para o desenho do split de pagamento.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Consequência de projeto: a plataforma deve operar com liquidação segregada (split), separando desde a origem o valor devido ao médico, o valor devido à plataforma e os tributos retidos, e deve manter registro fiscal auditável de cada operação.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 Riscos a mitigar no desenho da solução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Vínculo empregatício e pejotização: </w:t>
      </w:r>
      <w:r>
        <w:rPr>
          <w:rFonts w:ascii="Arial" w:cs="Arial" w:eastAsia="Arial" w:hAnsi="Arial"/>
          <w:sz w:val="22"/>
          <w:szCs w:val="22"/>
        </w:rPr>
        <w:t xml:space="preserve">a plataforma deve funcionar como ambiente de intermediação, sem definir jornada, exigir exclusividade ou aplicar sanções que caracterizem poder diretivo.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Responsabilidade solidária: </w:t>
      </w:r>
      <w:r>
        <w:rPr>
          <w:rFonts w:ascii="Arial" w:cs="Arial" w:eastAsia="Arial" w:hAnsi="Arial"/>
          <w:sz w:val="22"/>
          <w:szCs w:val="22"/>
        </w:rPr>
        <w:t xml:space="preserve">os termos de uso devem delimitar com precisão o papel da plataforma em relação ao inadimplemento e à qualidade do serviço médico.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Proteção de dados: </w:t>
      </w:r>
      <w:r>
        <w:rPr>
          <w:rFonts w:ascii="Arial" w:cs="Arial" w:eastAsia="Arial" w:hAnsi="Arial"/>
          <w:sz w:val="22"/>
          <w:szCs w:val="22"/>
        </w:rPr>
        <w:t xml:space="preserve">documentos profissionais, dados bancários e geolocalização exigem base legal, minimização e política de retenção conforme a LGPD.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Manipulação de reputação: </w:t>
      </w:r>
      <w:r>
        <w:rPr>
          <w:rFonts w:ascii="Arial" w:cs="Arial" w:eastAsia="Arial" w:hAnsi="Arial"/>
          <w:sz w:val="22"/>
          <w:szCs w:val="22"/>
        </w:rPr>
        <w:t xml:space="preserve">o modelo de avaliação precisa de mecanismos contra conluio e avaliações retaliatórias, sob pena de reproduzir digitalmente a assimetria que pretende corrigir.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Soluções existentes e lacuna identificada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mercado já reagiu parcialmente ao problema. O Quadro 4 resume as principais iniciativas identificadas.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3571"/>
      </w:tblGrid>
      <w:tr>
        <w:trPr>
          <w:tblHeader/>
        </w:trPr>
        <w:tc>
          <w:tcPr>
            <w:tcW w:type="dxa" w:w="21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Solução</w:t>
            </w:r>
          </w:p>
        </w:tc>
        <w:tc>
          <w:tcPr>
            <w:tcW w:type="dxa" w:w="3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Proposta</w:t>
            </w:r>
          </w:p>
        </w:tc>
        <w:tc>
          <w:tcPr>
            <w:tcW w:type="dxa" w:w="3571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Limite em relação ao problema diagnosticado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Revoluna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Plataforma de gestão de escalas para instituições, com app para médicos e assistente de IA que oferece vagas via WhatsApp; trilha de auditoria e dashboards operacionais.</w:t>
            </w:r>
          </w:p>
        </w:tc>
        <w:tc>
          <w:tcPr>
            <w:tcW w:type="dxa" w:w="35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Foco na relação instituição–médico e no preenchimento de vagas. O repasse entre médicos e a formalização fiscal da operação não são o centro da proposta.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MedMap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Marketplace com geolocalização que conecta gestores e plantonistas e automatiza o controle de escalas.</w:t>
            </w:r>
          </w:p>
        </w:tc>
        <w:tc>
          <w:tcPr>
            <w:tcW w:type="dxa" w:w="35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Concentra-se na captação e na gestão da escala; não trata do fluxo documental e tributário do repasse.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MedSimples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 de gestão de escalas e repasses de produtividade, com solicitação de troca de turno e acesso a vagas.</w:t>
            </w:r>
          </w:p>
        </w:tc>
        <w:tc>
          <w:tcPr>
            <w:tcW w:type="dxa" w:w="35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 dentro de redes de unidades já clientes; a troca é intra-instituição, não um mercado aberto de repasses formalizados.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Planttao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Robô que monitora grupos de WhatsApp e responde automaticamente às vagas, com painel de oportunidades.</w:t>
            </w:r>
          </w:p>
        </w:tc>
        <w:tc>
          <w:tcPr>
            <w:tcW w:type="dxa" w:w="35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Otimiza a informalidade em vez de substituí-la: acelera a disputa nos grupos, mantendo o processo fora de qualquer registro formal.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Plantão Fixo, Midê, Escalize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Divulgação de vagas, banco de profissionais e ferramentas de montagem de escala.</w:t>
            </w:r>
          </w:p>
        </w:tc>
        <w:tc>
          <w:tcPr>
            <w:tcW w:type="dxa" w:w="35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Camada de divulgação e organização; não incorporam contrato, documento fiscal nem garantia de pagamento.</w:t>
            </w:r>
          </w:p>
        </w:tc>
      </w:tr>
    </w:tbl>
    <w:p>
      <w:pPr>
        <w:spacing w:after="240" w:before="90"/>
        <w:jc w:val="lef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Quadro 4 — Benchmarking das soluções existentes.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lacuna é consistente entre as iniciativas analisadas: todas atacam a etapa de encontro entre oferta e demanda, e nenhuma fecha o ciclo até a formalização documental e fiscal do repasse entre médicos, com aprovação institucional registrada e liquidação financeira vinculada ao documento emitido. É exatamente nessa lacuna que o projeto se posiciona.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Reconhecer esse cenário tem uma consequência prática importante para a equipe: o diferencial da solução não está em ser mais um quadro de vagas, e sim em transformar o repasse — hoje o elo mais informal da cadeia — em uma operação rastreável, aprovada, contratualizada e fiscalmente regular.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Visão geral da solução proposta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Propõe-se um sistema de informação, com interface móvel para médicos e interface web para instituições, que atua como camada única de intermediação e formalização do trabalho por plantão. A solução é organizada em torno de três ideias centrais.</w:t>
      </w:r>
    </w:p>
    <w:p>
      <w:pPr>
        <w:spacing w:after="12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Disponibilidade como ponto de partida. </w:t>
      </w:r>
      <w:r>
        <w:rPr>
          <w:rFonts w:ascii="Arial" w:cs="Arial" w:eastAsia="Arial" w:hAnsi="Arial"/>
          <w:sz w:val="22"/>
          <w:szCs w:val="22"/>
        </w:rPr>
        <w:t xml:space="preserve">Em vez de o médico monitorar grupos em busca de vagas, ele declara previamente sua disponibilidade — janelas de data e horário, raio geográfico, especialidades, tipos de unidade e valor mínimo aceitável. Instituições e médicos que precisam repassar plantões publicam a demanda, e o sistema realiza o encontro automaticamente.</w:t>
      </w:r>
    </w:p>
    <w:p>
      <w:pPr>
        <w:spacing w:after="12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Seleção por mérito verificável. </w:t>
      </w:r>
      <w:r>
        <w:rPr>
          <w:rFonts w:ascii="Arial" w:cs="Arial" w:eastAsia="Arial" w:hAnsi="Arial"/>
          <w:sz w:val="22"/>
          <w:szCs w:val="22"/>
        </w:rPr>
        <w:t xml:space="preserve">Quando há mais de um candidato compatível, a ordenação considera critérios objetivos e auditáveis — aderência aos requisitos da vaga, histórico de comparecimento, pontualidade, avaliações recebidas e proximidade — e não a velocidade de resposta em um grupo de mensagens. A avaliação é bidirecional: o médico também avalia a instituição, inclusive quanto à pontualidade de pagamento.</w:t>
      </w:r>
    </w:p>
    <w:p>
      <w:pPr>
        <w:spacing w:after="12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Formalização embutida no fluxo. </w:t>
      </w:r>
      <w:r>
        <w:rPr>
          <w:rFonts w:ascii="Arial" w:cs="Arial" w:eastAsia="Arial" w:hAnsi="Arial"/>
          <w:sz w:val="22"/>
          <w:szCs w:val="22"/>
        </w:rPr>
        <w:t xml:space="preserve">Cada plantão confirmado gera automaticamente: registro na escala oficial, termo contratual assinado eletronicamente, orientação para emissão do documento fiscal com as retenções aplicáveis e liquidação financeira vinculada à confirmação de execução. No caso do repasse, a aprovação da instituição é etapa obrigatória, e o padrão é a recontratação direta do substituto (Modelo A da seção 5.2).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Atores do sistema: médico plantonista (que pode atuar como titular, substituto ou ambos); instituição de saúde e sua chefia de escala; setor administrativo e de faturamento da instituição; e o operador da plataforma, responsável pela intermediação financeira e pelas obrigações acessórias correspondentes.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Identificação das funções principais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 Decomposição funcional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As funções foram agrupadas em oito módulos, definidos a partir das dores mapeadas na seção 4 e das restrições da seção 5: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M1 — Identidade e credenciamento: </w:t>
      </w:r>
      <w:r>
        <w:rPr>
          <w:rFonts w:ascii="Arial" w:cs="Arial" w:eastAsia="Arial" w:hAnsi="Arial"/>
          <w:sz w:val="22"/>
          <w:szCs w:val="22"/>
        </w:rPr>
        <w:t xml:space="preserve">quem é o profissional e a instituição, e se estão regulares.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M2 — Disponibilidade e agenda: </w:t>
      </w:r>
      <w:r>
        <w:rPr>
          <w:rFonts w:ascii="Arial" w:cs="Arial" w:eastAsia="Arial" w:hAnsi="Arial"/>
          <w:sz w:val="22"/>
          <w:szCs w:val="22"/>
        </w:rPr>
        <w:t xml:space="preserve">quando o médico pode trabalhar e o que já está comprometido.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M3 — Publicação de demandas: </w:t>
      </w:r>
      <w:r>
        <w:rPr>
          <w:rFonts w:ascii="Arial" w:cs="Arial" w:eastAsia="Arial" w:hAnsi="Arial"/>
          <w:sz w:val="22"/>
          <w:szCs w:val="22"/>
        </w:rPr>
        <w:t xml:space="preserve">vagas institucionais e pedidos de repasse.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M4 — Matching e seleção: </w:t>
      </w:r>
      <w:r>
        <w:rPr>
          <w:rFonts w:ascii="Arial" w:cs="Arial" w:eastAsia="Arial" w:hAnsi="Arial"/>
          <w:sz w:val="22"/>
          <w:szCs w:val="22"/>
        </w:rPr>
        <w:t xml:space="preserve">quem é elegível, quem é priorizado, como se dá o aceite.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M5 — Repasse e aprovação institucional: </w:t>
      </w:r>
      <w:r>
        <w:rPr>
          <w:rFonts w:ascii="Arial" w:cs="Arial" w:eastAsia="Arial" w:hAnsi="Arial"/>
          <w:sz w:val="22"/>
          <w:szCs w:val="22"/>
        </w:rPr>
        <w:t xml:space="preserve">o fluxo triádico de substituição.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M6 — Formalização contratual e fiscal: </w:t>
      </w:r>
      <w:r>
        <w:rPr>
          <w:rFonts w:ascii="Arial" w:cs="Arial" w:eastAsia="Arial" w:hAnsi="Arial"/>
          <w:sz w:val="22"/>
          <w:szCs w:val="22"/>
        </w:rPr>
        <w:t xml:space="preserve">contrato, documento fiscal e retenções.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M7 — Pagamento e garantia: </w:t>
      </w:r>
      <w:r>
        <w:rPr>
          <w:rFonts w:ascii="Arial" w:cs="Arial" w:eastAsia="Arial" w:hAnsi="Arial"/>
          <w:sz w:val="22"/>
          <w:szCs w:val="22"/>
        </w:rPr>
        <w:t xml:space="preserve">retenção em garantia, split e liquidação.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M8 — Reputação, escala e auditoria: </w:t>
      </w:r>
      <w:r>
        <w:rPr>
          <w:rFonts w:ascii="Arial" w:cs="Arial" w:eastAsia="Arial" w:hAnsi="Arial"/>
          <w:sz w:val="22"/>
          <w:szCs w:val="22"/>
        </w:rPr>
        <w:t xml:space="preserve">avaliação, visão de cobertura e trilha de registros.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8.2 Quadro de funções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prioridade segue a notação MoSCoW: E (essencial, obrigatória no produto mínimo), I (importante) e D (desejável, candidata a evolução).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50"/>
        <w:gridCol w:w="1500"/>
        <w:gridCol w:w="3721"/>
        <w:gridCol w:w="8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35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tcW w:type="dxa" w:w="1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Ator principal</w:t>
            </w:r>
          </w:p>
        </w:tc>
        <w:tc>
          <w:tcPr>
            <w:tcW w:type="dxa" w:w="3721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8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F01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Cadastrar e verificar médico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Médico</w:t>
            </w:r>
          </w:p>
        </w:tc>
        <w:tc>
          <w:tcPr>
            <w:tcW w:type="dxa" w:w="3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Cadastro com validação automática de CRM ativo e regular, especialidade e RQE, certificações (ACLS, ATLS e equivalentes) e documentos comprobatórios.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F02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Cadastrar dados fiscais e bancários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Médico</w:t>
            </w:r>
          </w:p>
        </w:tc>
        <w:tc>
          <w:tcPr>
            <w:tcW w:type="dxa" w:w="3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 de CNPJ e CNAE, regime tributário, inscrição municipal e conta de recebimento, usados para gerar documentos e liquidar pagamentos.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F03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Cadastrar e verificar instituição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Instituição</w:t>
            </w:r>
          </w:p>
        </w:tc>
        <w:tc>
          <w:tcPr>
            <w:tcW w:type="dxa" w:w="3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Cadastro com CNPJ, CNES, unidades, setores e responsáveis pela escala, com definição de perfis e permissões.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F04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Declarar disponibilidade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Médico</w:t>
            </w:r>
          </w:p>
        </w:tc>
        <w:tc>
          <w:tcPr>
            <w:tcW w:type="dxa" w:w="3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 de janelas de data e horário, raio geográfico, especialidades, tipos de unidade e valor mínimo por hora ou por plantão.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F05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Manter agenda unificada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Médico</w:t>
            </w:r>
          </w:p>
        </w:tc>
        <w:tc>
          <w:tcPr>
            <w:tcW w:type="dxa" w:w="3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Visão consolidada de plantões fixos, confirmados e candidaturas em aberto, com detecção de conflitos entre vínculos.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F06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Publicar vaga de plantão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Instituição</w:t>
            </w:r>
          </w:p>
        </w:tc>
        <w:tc>
          <w:tcPr>
            <w:tcW w:type="dxa" w:w="3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Abertura de vaga com unidade, setor, data, duração, valor, modelo de contratação e requisitos obrigatórios e desejáveis.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F07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Abrir pedido de repasse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Médico titular</w:t>
            </w:r>
          </w:p>
        </w:tc>
        <w:tc>
          <w:tcPr>
            <w:tcW w:type="dxa" w:w="3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Solicitação de substituição em plantão já confirmado, com motivo, prazo de resposta e condições financeiras.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F08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Realizar matching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Sistema</w:t>
            </w:r>
          </w:p>
        </w:tc>
        <w:tc>
          <w:tcPr>
            <w:tcW w:type="dxa" w:w="3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Cruzamento entre demandas publicadas e disponibilidades declaradas, filtrando por requisitos obrigatórios, conflito de agenda e limites de carga horária.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F09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Ordenar candidatos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Sistema</w:t>
            </w:r>
          </w:p>
        </w:tc>
        <w:tc>
          <w:tcPr>
            <w:tcW w:type="dxa" w:w="3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Ranqueamento por aderência ao perfil, reputação, histórico de comparecimento e distância, com critérios exibidos de forma transparente.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F10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Convidar, aceitar e recusar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Médico / Instituição</w:t>
            </w:r>
          </w:p>
        </w:tc>
        <w:tc>
          <w:tcPr>
            <w:tcW w:type="dxa" w:w="3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Envio de convite com prazo, registro de aceite ou recusa e liberação automática da vaga em caso de expiração.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F11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Aprovar substituição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Chefia de escala</w:t>
            </w:r>
          </w:p>
        </w:tc>
        <w:tc>
          <w:tcPr>
            <w:tcW w:type="dxa" w:w="3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Etapa bloqueante em que a instituição aprova ou recusa o substituto indicado, com justificativa registrada.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F12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Atualizar escala oficial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Sistema</w:t>
            </w:r>
          </w:p>
        </w:tc>
        <w:tc>
          <w:tcPr>
            <w:tcW w:type="dxa" w:w="3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Substituição do profissional na escala da unidade após aprovação, com versionamento e histórico completo de alterações.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F13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Gerar termo contratual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Sistema</w:t>
            </w:r>
          </w:p>
        </w:tc>
        <w:tc>
          <w:tcPr>
            <w:tcW w:type="dxa" w:w="3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Emissão do contrato de prestação de serviços ou do termo de substituição, com assinatura eletrônica das partes envolvidas.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F14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Apoiar emissão de documento fiscal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Médico / Sistema</w:t>
            </w:r>
          </w:p>
        </w:tc>
        <w:tc>
          <w:tcPr>
            <w:tcW w:type="dxa" w:w="3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Pré-preenchimento e integração com emissores de NFS-e, cálculo e destaque das retenções aplicáveis e arquivamento do documento emitido.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F15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Reter valor em garantia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Instituição / Sistema</w:t>
            </w:r>
          </w:p>
        </w:tc>
        <w:tc>
          <w:tcPr>
            <w:tcW w:type="dxa" w:w="3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Bloqueio ou pré-autorização do valor do plantão no momento do aceite, como garantia de pagamento ao profissional.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F16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Confirmar execução do plantão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Médico / Instituição</w:t>
            </w:r>
          </w:p>
        </w:tc>
        <w:tc>
          <w:tcPr>
            <w:tcW w:type="dxa" w:w="3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 de início e término com confirmação pelas duas partes ou por decurso de prazo sem contestação.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F17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Liquidar pagamento com split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Sistema</w:t>
            </w:r>
          </w:p>
        </w:tc>
        <w:tc>
          <w:tcPr>
            <w:tcW w:type="dxa" w:w="3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Liberação do valor vinculada ao documento fiscal, com separação entre valor do profissional, comissão da plataforma e tributos retidos.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F18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Avaliar de forma bidirecional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Médico / Instituição</w:t>
            </w:r>
          </w:p>
        </w:tc>
        <w:tc>
          <w:tcPr>
            <w:tcW w:type="dxa" w:w="3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Avaliação após o plantão por critérios objetivos, incluindo pontualidade de pagamento por parte da instituição.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F19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ocorrências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Médico / Instituição</w:t>
            </w:r>
          </w:p>
        </w:tc>
        <w:tc>
          <w:tcPr>
            <w:tcW w:type="dxa" w:w="3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 de no-show, atraso, cancelamento tardio e inadimplemento, com impacto na reputação e trilha de auditoria.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F20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Gerenciar escala e cobertura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Instituição</w:t>
            </w:r>
          </w:p>
        </w:tc>
        <w:tc>
          <w:tcPr>
            <w:tcW w:type="dxa" w:w="3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 com turnos cobertos e descobertos, alertas antecipados de lacunas e indicadores de preenchimento.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F21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Emitir relatórios financeiros e fiscais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Médico / Instituição</w:t>
            </w:r>
          </w:p>
        </w:tc>
        <w:tc>
          <w:tcPr>
            <w:tcW w:type="dxa" w:w="3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Extratos por período, comprovação de renda, relatórios de retenções e exportação para a contabilidade.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F22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Notificar e comunicar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Sistema</w:t>
            </w:r>
          </w:p>
        </w:tc>
        <w:tc>
          <w:tcPr>
            <w:tcW w:type="dxa" w:w="3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Notificações por push e por mensageria sobre vagas compatíveis, prazos, aprovações pendentes e pagamentos.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F23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Controlar acesso e auditoria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Sistema</w:t>
            </w:r>
          </w:p>
        </w:tc>
        <w:tc>
          <w:tcPr>
            <w:tcW w:type="dxa" w:w="3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Perfis e permissões, registro imutável de eventos e consulta a histórico para fins de auditoria e defesa.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F24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Gerir consentimento e privacidade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Sistema</w:t>
            </w:r>
          </w:p>
        </w:tc>
        <w:tc>
          <w:tcPr>
            <w:tcW w:type="dxa" w:w="3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Coleta de consentimento, controle de finalidade, política de retenção e atendimento a direitos do titular (LGPD).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F25</w:t>
            </w:r>
          </w:p>
        </w:tc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Sugerir precificação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Sistema</w:t>
            </w:r>
          </w:p>
        </w:tc>
        <w:tc>
          <w:tcPr>
            <w:tcW w:type="dxa" w:w="3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Faixa de valor sugerida por região, especialidade, dia da semana e antecedência, com base no histórico da plataforma.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</w:tr>
    </w:tbl>
    <w:p>
      <w:pPr>
        <w:spacing w:after="240" w:before="90"/>
        <w:jc w:val="lef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Quadro 5 — Funções principais do sistema proposto.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8.3 Regras de negócio preliminares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RN01. </w:t>
      </w:r>
      <w:r>
        <w:rPr>
          <w:rFonts w:ascii="Arial" w:cs="Arial" w:eastAsia="Arial" w:hAnsi="Arial"/>
          <w:sz w:val="22"/>
          <w:szCs w:val="22"/>
        </w:rPr>
        <w:t xml:space="preserve">Nenhum repasse se conclui sem aprovação expressa da instituição responsável pela escala.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RN02. </w:t>
      </w:r>
      <w:r>
        <w:rPr>
          <w:rFonts w:ascii="Arial" w:cs="Arial" w:eastAsia="Arial" w:hAnsi="Arial"/>
          <w:sz w:val="22"/>
          <w:szCs w:val="22"/>
        </w:rPr>
        <w:t xml:space="preserve">Nenhuma candidatura é aceita de médico com CRM irregular ou que não atenda aos requisitos obrigatórios da vaga.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RN03. </w:t>
      </w:r>
      <w:r>
        <w:rPr>
          <w:rFonts w:ascii="Arial" w:cs="Arial" w:eastAsia="Arial" w:hAnsi="Arial"/>
          <w:sz w:val="22"/>
          <w:szCs w:val="22"/>
        </w:rPr>
        <w:t xml:space="preserve">O sistema bloqueia sobreposição de horários e alerta quando a soma de plantões contíguos ultrapassar o limite de 24 horas.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RN04. </w:t>
      </w:r>
      <w:r>
        <w:rPr>
          <w:rFonts w:ascii="Arial" w:cs="Arial" w:eastAsia="Arial" w:hAnsi="Arial"/>
          <w:sz w:val="22"/>
          <w:szCs w:val="22"/>
        </w:rPr>
        <w:t xml:space="preserve">Todo valor liquidado tem documento fiscal correspondente registrado no sistema.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RN05. </w:t>
      </w:r>
      <w:r>
        <w:rPr>
          <w:rFonts w:ascii="Arial" w:cs="Arial" w:eastAsia="Arial" w:hAnsi="Arial"/>
          <w:sz w:val="22"/>
          <w:szCs w:val="22"/>
        </w:rPr>
        <w:t xml:space="preserve">O pagamento só é liberado após a confirmação de execução do plantão, na forma da função F16.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RN06. </w:t>
      </w:r>
      <w:r>
        <w:rPr>
          <w:rFonts w:ascii="Arial" w:cs="Arial" w:eastAsia="Arial" w:hAnsi="Arial"/>
          <w:sz w:val="22"/>
          <w:szCs w:val="22"/>
        </w:rPr>
        <w:t xml:space="preserve">O médico titular não recebe nem repassa valores relativos a plantão executado por terceiro no fluxo padrão; a contratação é redirecionada ao substituto.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RN07. </w:t>
      </w:r>
      <w:r>
        <w:rPr>
          <w:rFonts w:ascii="Arial" w:cs="Arial" w:eastAsia="Arial" w:hAnsi="Arial"/>
          <w:sz w:val="22"/>
          <w:szCs w:val="22"/>
        </w:rPr>
        <w:t xml:space="preserve">Somente participantes de um plantão efetivamente realizado podem avaliá-lo, e cada plantão admite uma avaliação por parte.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RN08. </w:t>
      </w:r>
      <w:r>
        <w:rPr>
          <w:rFonts w:ascii="Arial" w:cs="Arial" w:eastAsia="Arial" w:hAnsi="Arial"/>
          <w:sz w:val="22"/>
          <w:szCs w:val="22"/>
        </w:rPr>
        <w:t xml:space="preserve">Cancelamento após o prazo definido pela instituição gera ocorrência registrada e impacta a reputação do profissional.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RN09. </w:t>
      </w:r>
      <w:r>
        <w:rPr>
          <w:rFonts w:ascii="Arial" w:cs="Arial" w:eastAsia="Arial" w:hAnsi="Arial"/>
          <w:sz w:val="22"/>
          <w:szCs w:val="22"/>
        </w:rPr>
        <w:t xml:space="preserve">A plataforma não define jornada, exclusividade ou subordinação; atua exclusivamente como intermediadora.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RN10. </w:t>
      </w:r>
      <w:r>
        <w:rPr>
          <w:rFonts w:ascii="Arial" w:cs="Arial" w:eastAsia="Arial" w:hAnsi="Arial"/>
          <w:sz w:val="22"/>
          <w:szCs w:val="22"/>
        </w:rPr>
        <w:t xml:space="preserve">Dados clínicos e dados de pacientes não são coletados nem armazenados pelo sistema.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8.4 Requisitos não funcionais preliminares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RNF01 — Disponibilidade: </w:t>
      </w:r>
      <w:r>
        <w:rPr>
          <w:rFonts w:ascii="Arial" w:cs="Arial" w:eastAsia="Arial" w:hAnsi="Arial"/>
          <w:sz w:val="22"/>
          <w:szCs w:val="22"/>
        </w:rPr>
        <w:t xml:space="preserve">o serviço opera em regime contínuo, já que a maior parte das lacunas de escala surge em madrugadas, fins de semana e feriados.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RNF02 — Desempenho: </w:t>
      </w:r>
      <w:r>
        <w:rPr>
          <w:rFonts w:ascii="Arial" w:cs="Arial" w:eastAsia="Arial" w:hAnsi="Arial"/>
          <w:sz w:val="22"/>
          <w:szCs w:val="22"/>
        </w:rPr>
        <w:t xml:space="preserve">o matching e a notificação de uma nova demanda devem ocorrer em poucos segundos, sob pena de a plataforma perder para a velocidade dos grupos de mensagens.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RNF03 — Usabilidade móvel: </w:t>
      </w:r>
      <w:r>
        <w:rPr>
          <w:rFonts w:ascii="Arial" w:cs="Arial" w:eastAsia="Arial" w:hAnsi="Arial"/>
          <w:sz w:val="22"/>
          <w:szCs w:val="22"/>
        </w:rPr>
        <w:t xml:space="preserve">a jornada do médico é integralmente mobile-first, com aceite de vaga em poucos toques.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RNF04 — Auditabilidade: </w:t>
      </w:r>
      <w:r>
        <w:rPr>
          <w:rFonts w:ascii="Arial" w:cs="Arial" w:eastAsia="Arial" w:hAnsi="Arial"/>
          <w:sz w:val="22"/>
          <w:szCs w:val="22"/>
        </w:rPr>
        <w:t xml:space="preserve">todos os eventos relevantes são registrados de forma imutável e recuperável.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RNF05 — Integração: </w:t>
      </w:r>
      <w:r>
        <w:rPr>
          <w:rFonts w:ascii="Arial" w:cs="Arial" w:eastAsia="Arial" w:hAnsi="Arial"/>
          <w:sz w:val="22"/>
          <w:szCs w:val="22"/>
        </w:rPr>
        <w:t xml:space="preserve">o sistema integra-se a emissores de NFS-e, a meios de pagamento com suporte a split e a bases de consulta de registro profissional.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RNF06 — Conformidade: </w:t>
      </w:r>
      <w:r>
        <w:rPr>
          <w:rFonts w:ascii="Arial" w:cs="Arial" w:eastAsia="Arial" w:hAnsi="Arial"/>
          <w:sz w:val="22"/>
          <w:szCs w:val="22"/>
        </w:rPr>
        <w:t xml:space="preserve">o tratamento de dados observa a LGPD, e as obrigações fiscais acessórias da plataforma são cumpridas na forma da seção 5.4.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RNF07 — Segurança: </w:t>
      </w:r>
      <w:r>
        <w:rPr>
          <w:rFonts w:ascii="Arial" w:cs="Arial" w:eastAsia="Arial" w:hAnsi="Arial"/>
          <w:sz w:val="22"/>
          <w:szCs w:val="22"/>
        </w:rPr>
        <w:t xml:space="preserve">autenticação forte, controle de acesso por perfil e proteção de documentos e dados bancários em repouso e em trânsito.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Uso de assistentes de Inteligência Artificial no projeto</w:t>
      </w:r>
    </w:p>
    <w:p>
      <w:pPr>
        <w:spacing w:after="14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Conforme previsto no enunciado, a equipe utilizou assistentes de IA em todas as fases desta entrega. Nesta primeira etapa, o assistente principal foi o Claude (Anthropic), empregado nas seguintes atividades: levantamento exploratório sobre a problemática em fontes abertas; síntese do arcabouço ético e fiscal aplicável ao repasse de plantões; benchmarking das soluções existentes; estruturação do documento; e apoio à decomposição funcional e à redação. Ferramentas complementares utilizadas individualmente pelos integrantes devem ser registradas no fechamento desta entrega.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9.1 Pontos fortes observados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Velocidade na exploração inicial: </w:t>
      </w:r>
      <w:r>
        <w:rPr>
          <w:rFonts w:ascii="Arial" w:cs="Arial" w:eastAsia="Arial" w:hAnsi="Arial"/>
          <w:sz w:val="22"/>
          <w:szCs w:val="22"/>
        </w:rPr>
        <w:t xml:space="preserve">a IA reduziu de forma significativa o tempo necessário para mapear um domínio que nenhum integrante dominava previamente, indicando fontes, normas e atores relevantes em poucas iterações.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Síntese de conteúdo técnico disperso: </w:t>
      </w:r>
      <w:r>
        <w:rPr>
          <w:rFonts w:ascii="Arial" w:cs="Arial" w:eastAsia="Arial" w:hAnsi="Arial"/>
          <w:sz w:val="22"/>
          <w:szCs w:val="22"/>
        </w:rPr>
        <w:t xml:space="preserve">o enquadramento fiscal do repasse envolve normas de esferas diferentes — federal, municipal e ética-profissional. O assistente foi eficaz em reunir e organizar esses fragmentos em um quadro comparável.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Qualidade da estruturação: </w:t>
      </w:r>
      <w:r>
        <w:rPr>
          <w:rFonts w:ascii="Arial" w:cs="Arial" w:eastAsia="Arial" w:hAnsi="Arial"/>
          <w:sz w:val="22"/>
          <w:szCs w:val="22"/>
        </w:rPr>
        <w:t xml:space="preserve">a organização do documento, a decomposição em módulos funcionais e a formulação inicial das regras de negócio ganharam consistência com o apoio do assistente.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Efeito de contraditório: </w:t>
      </w:r>
      <w:r>
        <w:rPr>
          <w:rFonts w:ascii="Arial" w:cs="Arial" w:eastAsia="Arial" w:hAnsi="Arial"/>
          <w:sz w:val="22"/>
          <w:szCs w:val="22"/>
        </w:rPr>
        <w:t xml:space="preserve">ao ser provocado, o assistente apontou uma falha relevante na concepção inicial da equipe — a ideia original previa que o médico escolhesse diretamente o substituto, o que é ética e juridicamente inválido sem aprovação da chefia. Essa correção alterou o desenho do fluxo principal do sistema.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9.2 Pontos fracos e riscos observados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Risco de imprecisão factual: </w:t>
      </w:r>
      <w:r>
        <w:rPr>
          <w:rFonts w:ascii="Arial" w:cs="Arial" w:eastAsia="Arial" w:hAnsi="Arial"/>
          <w:sz w:val="22"/>
          <w:szCs w:val="22"/>
        </w:rPr>
        <w:t xml:space="preserve">dados numéricos, números de normas e decisões judiciais precisaram ser conferidos em fontes primárias. A equipe adotou como regra não incorporar ao documento qualquer referência normativa sem verificação direta.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Sensibilidade à desatualização: </w:t>
      </w:r>
      <w:r>
        <w:rPr>
          <w:rFonts w:ascii="Arial" w:cs="Arial" w:eastAsia="Arial" w:hAnsi="Arial"/>
          <w:sz w:val="22"/>
          <w:szCs w:val="22"/>
        </w:rPr>
        <w:t xml:space="preserve">matéria tributária muda com frequência, e conteúdo gerado por IA pode refletir regras já superadas. A verificação de vigência é indispensável.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Tendência a ampliar escopo: </w:t>
      </w:r>
      <w:r>
        <w:rPr>
          <w:rFonts w:ascii="Arial" w:cs="Arial" w:eastAsia="Arial" w:hAnsi="Arial"/>
          <w:sz w:val="22"/>
          <w:szCs w:val="22"/>
        </w:rPr>
        <w:t xml:space="preserve">as sugestões tendem a acrescentar funcionalidades além do necessário, o que exigiu esforço deliberado de priorização e corte por parte da equipe.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Viés de concordância: </w:t>
      </w:r>
      <w:r>
        <w:rPr>
          <w:rFonts w:ascii="Arial" w:cs="Arial" w:eastAsia="Arial" w:hAnsi="Arial"/>
          <w:sz w:val="22"/>
          <w:szCs w:val="22"/>
        </w:rPr>
        <w:t xml:space="preserve">quando a pergunta já embute uma solução, o assistente tende a desenvolvê-la em vez de questioná-la. Obter crítica real exigiu pedir explicitamente pelos pontos fracos da proposta.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Não substitui pesquisa de campo: </w:t>
      </w:r>
      <w:r>
        <w:rPr>
          <w:rFonts w:ascii="Arial" w:cs="Arial" w:eastAsia="Arial" w:hAnsi="Arial"/>
          <w:sz w:val="22"/>
          <w:szCs w:val="22"/>
        </w:rPr>
        <w:t xml:space="preserve">a IA descreve o problema como ele aparece em fontes publicadas, não como os médicos de Recife o vivem. As entrevistas previstas na seção 2.4 permanecem insubstituíveis.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Homogeneização e autoria: </w:t>
      </w:r>
      <w:r>
        <w:rPr>
          <w:rFonts w:ascii="Arial" w:cs="Arial" w:eastAsia="Arial" w:hAnsi="Arial"/>
          <w:sz w:val="22"/>
          <w:szCs w:val="22"/>
        </w:rPr>
        <w:t xml:space="preserve">o texto gerado tende a um registro uniforme e genérico, exigindo revisão e reescrita pela equipe para assegurar autoria efetiva e compreensão real do conteúdo entregue.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Próximos passos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Executar as entrevistas semiestruturadas previstas na seção 2.4 e consolidar os achados, confirmando ou revisando o diagnóstico.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Validar o enquadramento fiscal da seção 5 com profissional de contabilidade e o enquadramento ético com profissional de direito médico.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Modelar os processos as-is e to-be em BPMN, com destaque para o fluxo triádico de repasse.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Elaborar a proposta de arquitetura do sistema de informação, definindo integrações com emissores de NFS-e, meio de pagamento com split e base de consulta de registro profissional.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Detalhar as funções do Quadro 5 em requisitos funcionais e casos de uso, com priorização para o produto mínimo.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Definir estratégia de implantação e o modelo de adoção inicial, considerando que a rede precisa alcançar massa crítica simultaneamente dos dois lados do mercado.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 Referências</w:t>
      </w:r>
    </w:p>
    <w:p>
      <w:pPr>
        <w:spacing w:after="130" w:line="280"/>
        <w:jc w:val="both"/>
      </w:pPr>
      <w:r>
        <w:rPr>
          <w:rFonts w:ascii="Arial" w:cs="Arial" w:eastAsia="Arial" w:hAnsi="Arial"/>
          <w:sz w:val="20"/>
          <w:szCs w:val="20"/>
        </w:rPr>
        <w:t xml:space="preserve">BRASIL. Lei nº 8.137, de 27 de dezembro de 1990. Define crimes contra a ordem tributária, econômica e contra as relações de consumo.</w:t>
      </w:r>
    </w:p>
    <w:p>
      <w:pPr>
        <w:spacing w:after="130" w:line="280"/>
        <w:jc w:val="both"/>
      </w:pPr>
      <w:r>
        <w:rPr>
          <w:rFonts w:ascii="Arial" w:cs="Arial" w:eastAsia="Arial" w:hAnsi="Arial"/>
          <w:sz w:val="20"/>
          <w:szCs w:val="20"/>
        </w:rPr>
        <w:t xml:space="preserve">BRASIL. Lei Complementar nº 214, de 16 de janeiro de 2025. Institui o Imposto sobre Bens e Serviços, a Contribuição Social sobre Bens e Serviços e dispõe sobre plataformas digitais.</w:t>
      </w:r>
    </w:p>
    <w:p>
      <w:pPr>
        <w:spacing w:after="130" w:line="280"/>
        <w:jc w:val="both"/>
      </w:pPr>
      <w:r>
        <w:rPr>
          <w:rFonts w:ascii="Arial" w:cs="Arial" w:eastAsia="Arial" w:hAnsi="Arial"/>
          <w:sz w:val="20"/>
          <w:szCs w:val="20"/>
        </w:rPr>
        <w:t xml:space="preserve">BRASIL. Receita Federal. Instrução Normativa RFB nº 2.331, de 23 de junho de 2026. Disciplina a retenção na fonte e o recolhimento do Imposto sobre a Renda incidente sobre remunerações pagas a plataformas digitais pela intermediação de negócios. Disponível em: gov.br/receitafederal.</w:t>
      </w:r>
    </w:p>
    <w:p>
      <w:pPr>
        <w:spacing w:after="130" w:line="280"/>
        <w:jc w:val="both"/>
      </w:pPr>
      <w:r>
        <w:rPr>
          <w:rFonts w:ascii="Arial" w:cs="Arial" w:eastAsia="Arial" w:hAnsi="Arial"/>
          <w:sz w:val="20"/>
          <w:szCs w:val="20"/>
        </w:rPr>
        <w:t xml:space="preserve">CONSELHO FEDERAL DE MEDICINA. Código de Ética Médica, art. 9º. Resolução CFM nº 2.077/2014.</w:t>
      </w:r>
    </w:p>
    <w:p>
      <w:pPr>
        <w:spacing w:after="130" w:line="280"/>
        <w:jc w:val="both"/>
      </w:pPr>
      <w:r>
        <w:rPr>
          <w:rFonts w:ascii="Arial" w:cs="Arial" w:eastAsia="Arial" w:hAnsi="Arial"/>
          <w:sz w:val="20"/>
          <w:szCs w:val="20"/>
        </w:rPr>
        <w:t xml:space="preserve">CONSELHO REGIONAL DE MEDICINA DO PARANÁ. Descumprimento de escala de plantão e a responsabilidade ética do médico. 2023.</w:t>
      </w:r>
    </w:p>
    <w:p>
      <w:pPr>
        <w:spacing w:after="130" w:line="280"/>
        <w:jc w:val="both"/>
      </w:pPr>
      <w:r>
        <w:rPr>
          <w:rFonts w:ascii="Arial" w:cs="Arial" w:eastAsia="Arial" w:hAnsi="Arial"/>
          <w:sz w:val="20"/>
          <w:szCs w:val="20"/>
        </w:rPr>
        <w:t xml:space="preserve">AFYA. Passagem de plantão: os cuidados legais e éticos que todo médico precisa ter. Portal Afya, 2025.</w:t>
      </w:r>
    </w:p>
    <w:p>
      <w:pPr>
        <w:spacing w:after="130" w:line="280"/>
        <w:jc w:val="both"/>
      </w:pPr>
      <w:r>
        <w:rPr>
          <w:rFonts w:ascii="Arial" w:cs="Arial" w:eastAsia="Arial" w:hAnsi="Arial"/>
          <w:sz w:val="20"/>
          <w:szCs w:val="20"/>
        </w:rPr>
        <w:t xml:space="preserve">DISTRITO FEDERAL. Tribunal de Justiça do Distrito Federal e dos Territórios. Acórdão nº 941109.</w:t>
      </w:r>
    </w:p>
    <w:p>
      <w:pPr>
        <w:spacing w:after="130" w:line="280"/>
        <w:jc w:val="both"/>
      </w:pPr>
      <w:r>
        <w:rPr>
          <w:rFonts w:ascii="Arial" w:cs="Arial" w:eastAsia="Arial" w:hAnsi="Arial"/>
          <w:sz w:val="20"/>
          <w:szCs w:val="20"/>
        </w:rPr>
        <w:t xml:space="preserve">SCHEFFER, M. (coord.). Demografia Médica no Brasil 2025. Brasília: Ministério da Saúde; FMUSP; AMB, 2025.</w:t>
      </w:r>
    </w:p>
    <w:p>
      <w:pPr>
        <w:spacing w:after="130" w:line="280"/>
        <w:jc w:val="both"/>
      </w:pPr>
      <w:r>
        <w:rPr>
          <w:rFonts w:ascii="Arial" w:cs="Arial" w:eastAsia="Arial" w:hAnsi="Arial"/>
          <w:sz w:val="20"/>
          <w:szCs w:val="20"/>
        </w:rPr>
        <w:t xml:space="preserve">MEDSCAPE / ASSOCIAÇÃO DE GASTROENTEROLOGIA DO RIO DE JANEIRO. Calote em plantonistas: um problema frequente no Brasil. 2023.</w:t>
      </w:r>
    </w:p>
    <w:p>
      <w:pPr>
        <w:spacing w:after="130" w:line="280"/>
        <w:jc w:val="both"/>
      </w:pPr>
      <w:r>
        <w:rPr>
          <w:rFonts w:ascii="Arial" w:cs="Arial" w:eastAsia="Arial" w:hAnsi="Arial"/>
          <w:sz w:val="20"/>
          <w:szCs w:val="20"/>
        </w:rPr>
        <w:t xml:space="preserve">JUSBRASIL. Inadimplência de plantões médicos. 2023.</w:t>
      </w:r>
    </w:p>
    <w:p>
      <w:pPr>
        <w:spacing w:after="130" w:line="280"/>
        <w:jc w:val="both"/>
      </w:pPr>
      <w:r>
        <w:rPr>
          <w:rFonts w:ascii="Arial" w:cs="Arial" w:eastAsia="Arial" w:hAnsi="Arial"/>
          <w:sz w:val="20"/>
          <w:szCs w:val="20"/>
        </w:rPr>
        <w:t xml:space="preserve">REVOLUNA. Passar plantão sem caos: o que falta para esse processo evoluir; Como os grupos de plantão médico no WhatsApp moldaram esse mercado. 2026.</w:t>
      </w:r>
    </w:p>
    <w:p>
      <w:pPr>
        <w:spacing w:after="130" w:line="280"/>
        <w:jc w:val="both"/>
      </w:pPr>
      <w:r>
        <w:rPr>
          <w:rFonts w:ascii="Arial" w:cs="Arial" w:eastAsia="Arial" w:hAnsi="Arial"/>
          <w:sz w:val="20"/>
          <w:szCs w:val="20"/>
        </w:rPr>
        <w:t xml:space="preserve">PROJETO DRAFT. A MedMap conecta gestores de saúde a médicos plantonistas. 2023.</w:t>
      </w:r>
    </w:p>
    <w:p>
      <w:pPr>
        <w:spacing w:after="130" w:line="280"/>
        <w:jc w:val="both"/>
      </w:pPr>
      <w:r>
        <w:rPr>
          <w:rFonts w:ascii="Arial" w:cs="Arial" w:eastAsia="Arial" w:hAnsi="Arial"/>
          <w:sz w:val="20"/>
          <w:szCs w:val="20"/>
        </w:rPr>
        <w:t xml:space="preserve">Sites institucionais das soluções analisadas: revoluna.com.br, planttao.com.br, plantaofixo.com.br, meuplantao.ia.br e páginas dos aplicativos MedSimples, Midê Plantão e Escalize.</w:t>
      </w:r>
    </w:p>
    <w:p>
      <w:pPr>
        <w:spacing w:after="0" w:before="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Acesso às fontes eletrônicas em: setembro de 2026.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2026-09-11T17:01:13.233Z</dcterms:created>
  <dcterms:modified xsi:type="dcterms:W3CDTF">2026-09-11T17:01:13.244Z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