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СУЧАСНІ ПОГЛЯДИ НА АНТИБАКТЕРІАЛЬНУ ТЕРАПІЮ В НЕВІДКЛАДНІЙ ХІРУРГІЇ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Коваленко О. М.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д.мед.н., проф. Мішалов В. Г.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 №2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д.мед.н., проф. Безродний Б. Г.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НМУ імені О.О.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Дослідження зумовлена зростанням антибіотикорезистентності.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Другий абзац вступу з деталями.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Дослідження полягає у визначенні чутливості мікрофлори.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Базуються на дослідженні посівів 95 хворих.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Свідчать про високу чутливість до карбапенемів.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Обґрунтовує корекцію емпіричної антибіотикотерапії.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Хірургія, сепсис, антибіотикотерапія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1. Ковальчук л.я. клінічна хірургія. - тернопіль: укрмедкнига, 2021. - 380 с.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2. Dupont h. antibiotic therapy in intra-abdominal infections. - lancet infect dis 2023; 23(4):112-120.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