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240" w:lineRule="auto" w:before="0" w:after="0"/>
        <w:jc w:val="center"/>
      </w:pPr>
      <w:r>
        <w:rPr>
          <w:rFonts w:ascii="Times New Roman" w:hAnsi="Times New Roman"/>
          <w:b/>
          <w:sz w:val="24"/>
        </w:rPr>
        <w:t>ОПТИМІЗАЦІЯ КОМБІНОВАНОГО ГЕМОСТАЗУ ПРИ ПОРАНЕННЯХ МАГІСТРАЛЬНИХ СУДИН КІНЦІВОК</w:t>
      </w:r>
    </w:p>
    <w:p>
      <w:pPr>
        <w:spacing w:line="240" w:lineRule="auto" w:before="0" w:after="0"/>
      </w:pPr>
    </w:p>
    <w:p>
      <w:pPr>
        <w:spacing w:line="240" w:lineRule="auto" w:before="0" w:after="0"/>
        <w:jc w:val="center"/>
      </w:pPr>
      <w:r>
        <w:rPr>
          <w:rFonts w:ascii="Times New Roman" w:hAnsi="Times New Roman"/>
          <w:i/>
          <w:sz w:val="24"/>
        </w:rPr>
        <w:t>Бондаренко Я. С.</w:t>
      </w:r>
    </w:p>
    <w:p>
      <w:pPr>
        <w:spacing w:line="240" w:lineRule="auto" w:before="0" w:after="0"/>
      </w:pPr>
    </w:p>
    <w:p>
      <w:pPr>
        <w:spacing w:line="240" w:lineRule="auto" w:before="0" w:after="0"/>
        <w:jc w:val="left"/>
      </w:pPr>
      <w:r>
        <w:rPr>
          <w:rFonts w:ascii="Times New Roman" w:hAnsi="Times New Roman"/>
          <w:i/>
          <w:sz w:val="24"/>
        </w:rPr>
        <w:t>Науковий керівник: д.мед.н., проф. Пойда О.І.</w:t>
      </w:r>
    </w:p>
    <w:p>
      <w:pPr>
        <w:spacing w:line="240" w:lineRule="auto" w:before="0" w:after="0"/>
        <w:jc w:val="left"/>
      </w:pPr>
      <w:r>
        <w:rPr>
          <w:rFonts w:ascii="Times New Roman" w:hAnsi="Times New Roman"/>
          <w:i/>
          <w:sz w:val="24"/>
        </w:rPr>
        <w:t>Кафедра загальної хірургії №1</w:t>
      </w:r>
    </w:p>
    <w:p>
      <w:pPr>
        <w:spacing w:line="240" w:lineRule="auto" w:before="0" w:after="0"/>
        <w:jc w:val="left"/>
      </w:pPr>
      <w:r>
        <w:rPr>
          <w:rFonts w:ascii="Times New Roman" w:hAnsi="Times New Roman"/>
          <w:i/>
          <w:sz w:val="24"/>
        </w:rPr>
        <w:t>Завідувач кафедри: д.мед.н., проф. Пойда О.І.</w:t>
      </w:r>
    </w:p>
    <w:p>
      <w:pPr>
        <w:spacing w:line="240" w:lineRule="auto" w:before="0" w:after="0"/>
        <w:jc w:val="left"/>
      </w:pPr>
      <w:r>
        <w:rPr>
          <w:rFonts w:ascii="Times New Roman" w:hAnsi="Times New Roman"/>
          <w:i/>
          <w:sz w:val="24"/>
        </w:rPr>
        <w:t>Національний медичний університет імені О.О. Богомольця</w:t>
      </w:r>
    </w:p>
    <w:p>
      <w:pPr>
        <w:spacing w:line="240" w:lineRule="auto" w:before="0" w:after="0"/>
        <w:jc w:val="left"/>
      </w:pPr>
      <w:r>
        <w:rPr>
          <w:rFonts w:ascii="Times New Roman" w:hAnsi="Times New Roman"/>
          <w:i/>
          <w:sz w:val="24"/>
        </w:rPr>
        <w:t>м. Київ, Україна</w:t>
      </w:r>
    </w:p>
    <w:p>
      <w:pPr>
        <w:spacing w:line="240" w:lineRule="auto" w:before="0" w:after="0"/>
      </w:pP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Вступ: </w:t>
      </w:r>
      <w:r>
        <w:rPr>
          <w:rFonts w:ascii="Times New Roman" w:hAnsi="Times New Roman"/>
          <w:sz w:val="24"/>
        </w:rPr>
        <w:t>Бойові судинні травми становлять значну частку санітарних втрат та супроводжуються високим ризиком ішемії кінцівки або летальності. Швидке відновлення магістрального кровотоку є запорукою збереження життєздатності тканин.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Мета: </w:t>
      </w:r>
      <w:r>
        <w:rPr>
          <w:rFonts w:ascii="Times New Roman" w:hAnsi="Times New Roman"/>
          <w:sz w:val="24"/>
        </w:rPr>
        <w:t>Оцінити клінічну ефективність тимчасового внутрішньосудинного шунтування (TIVS) у поєднанні з вакуумною терапією ран при вогнепальних травмах кінцівок.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Матеріали і методи: </w:t>
      </w:r>
      <w:r>
        <w:rPr>
          <w:rFonts w:ascii="Times New Roman" w:hAnsi="Times New Roman"/>
          <w:sz w:val="24"/>
        </w:rPr>
        <w:t>Проаналізовано результати лікування 36 поранених з ушкодженням стегнової та підколінної артерій. У 18 пацієнтів застосовано протокол TIVS з раннім NPWT-дренуванням, у 18 — традиційне первинне лігування або пізній протез.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Результати: </w:t>
      </w:r>
      <w:r>
        <w:rPr>
          <w:rFonts w:ascii="Times New Roman" w:hAnsi="Times New Roman"/>
          <w:sz w:val="24"/>
        </w:rPr>
        <w:t>У групі TIVS збереження кінцівки досягнуто у 94.4% випадків проти 72.2% у контрольній групі (p&lt;0.05). Середній час від моменту поранення до відновлення перфузії скоротився на 48 хв. Частота вторинних тромбозів зменшилась удвічі.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Висновок: </w:t>
      </w:r>
      <w:r>
        <w:rPr>
          <w:rFonts w:ascii="Times New Roman" w:hAnsi="Times New Roman"/>
          <w:sz w:val="24"/>
        </w:rPr>
        <w:t>Застосування тимчасового шунтування є методом вибору на етапі передової хірургічної допомоги, забезпечуючи надійну реперфузію перед реконструктивним етапом.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Ключові слова: </w:t>
      </w:r>
      <w:r>
        <w:rPr>
          <w:rFonts w:ascii="Times New Roman" w:hAnsi="Times New Roman"/>
          <w:sz w:val="24"/>
        </w:rPr>
        <w:t>Бойова травма, магістральні судини, тимчасове шунтування, NPWT</w:t>
      </w:r>
    </w:p>
    <w:p>
      <w:pPr>
        <w:spacing w:line="240" w:lineRule="auto" w:before="0" w:after="0"/>
      </w:pP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>Джерела:</w:t>
      </w:r>
    </w:p>
    <w:p>
      <w:pPr>
        <w:spacing w:line="240" w:lineRule="auto" w:before="0" w:after="0"/>
        <w:jc w:val="both"/>
        <w:numPr>
          <w:ilvl w:val="0"/>
          <w:numId w:val="1"/>
        </w:numPr>
      </w:pPr>
      <w:r>
        <w:rPr>
          <w:rFonts w:ascii="Times New Roman" w:hAnsi="Times New Roman"/>
          <w:sz w:val="24"/>
        </w:rPr>
        <w:t>Шевченко В.О., Коваленко П.М. Нові підходи в судинній хірургії. Хірургія України, 2023; 4(88): 25-30.</w:t>
      </w:r>
    </w:p>
    <w:p>
      <w:pPr>
        <w:spacing w:line="240" w:lineRule="auto" w:before="0" w:after="0"/>
        <w:jc w:val="both"/>
        <w:numPr>
          <w:ilvl w:val="0"/>
          <w:numId w:val="1"/>
        </w:numPr>
      </w:pPr>
      <w:r>
        <w:rPr>
          <w:rFonts w:ascii="Times New Roman" w:hAnsi="Times New Roman"/>
          <w:sz w:val="24"/>
        </w:rPr>
        <w:t>Мельник С.В., та ін. Госпітальна допомога при політравмі: посібник. Київ: Медицина, 2021, 142 с.</w:t>
      </w:r>
    </w:p>
    <w:p>
      <w:pPr>
        <w:spacing w:line="240" w:lineRule="auto" w:before="0" w:after="0"/>
        <w:jc w:val="both"/>
        <w:numPr>
          <w:ilvl w:val="0"/>
          <w:numId w:val="1"/>
        </w:numPr>
      </w:pPr>
      <w:r>
        <w:rPr>
          <w:rFonts w:ascii="Times New Roman" w:hAnsi="Times New Roman"/>
          <w:sz w:val="24"/>
        </w:rPr>
        <w:t>Smith J., et al. Modern vascular trauma protocols. Ann Surg, 2024; 180: 310-318.</w:t>
      </w:r>
    </w:p>
    <w:sectPr w:rsidR="00645A4C" w:rsidRPr="00E37E77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65EFC87A-FC3D-4A2A-967D-7C35F5CC1CD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153B9672-0A01-4934-AA24-B12B98E570D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55E0B"/>
    <w:multiLevelType w:val="multilevel"/>
    <w:tmpl w:val="41BE88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30830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5A4C"/>
    <w:rsid w:val="0016659D"/>
    <w:rsid w:val="00321A7E"/>
    <w:rsid w:val="003E10BA"/>
    <w:rsid w:val="00421F52"/>
    <w:rsid w:val="005C2944"/>
    <w:rsid w:val="00602C27"/>
    <w:rsid w:val="00645A4C"/>
    <w:rsid w:val="007B3EBD"/>
    <w:rsid w:val="00CB0128"/>
    <w:rsid w:val="00D9475C"/>
    <w:rsid w:val="00DC5053"/>
    <w:rsid w:val="00E37E77"/>
    <w:rsid w:val="00F61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6D99B"/>
  <w15:docId w15:val="{F46D95F0-616D-4402-A9BD-4EC0E3719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40" w:lineRule="auto" w:before="0" w:after="0"/>
    </w:pPr>
    <w:rPr>
      <w:rFonts w:ascii="Times New Roman" w:hAnsi="Times New Roman"/>
      <w:color w:val="000000"/>
      <w:sz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Normal (Web)"/>
    <w:basedOn w:val="a"/>
    <w:uiPriority w:val="99"/>
    <w:semiHidden/>
    <w:unhideWhenUsed/>
    <w:rsid w:val="00DC50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doi.org/10.1007/s10029-009-0560-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007/s10029-009-0518-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3389/jaws.2024.12452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783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Олександр Горощенко</cp:lastModifiedBy>
  <cp:revision>27</cp:revision>
  <dcterms:created xsi:type="dcterms:W3CDTF">2025-11-17T20:14:00Z</dcterms:created>
  <dcterms:modified xsi:type="dcterms:W3CDTF">2025-11-18T19:51:00Z</dcterms:modified>
</cp:coreProperties>
</file>