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23E1922A" w:rsidR="00645A4C" w:rsidRDefault="00602C27">
      <w:pPr>
        <w:shd w:val="clear" w:color="auto" w:fill="FFFFFF"/>
        <w:spacing w:line="240" w:lineRule="auto"/>
        <w:ind w:right="-115" w:firstLine="142"/>
        <w:jc w:val="center"/>
        <w:rPr>
          <w:rFonts w:ascii="Times New Roman" w:eastAsia="Times New Roman" w:hAnsi="Times New Roman" w:cs="Times New Roman"/>
          <w:b/>
          <w:bCs/>
          <w:color w:val="252424"/>
          <w:sz w:val="24"/>
          <w:szCs w:val="24"/>
        </w:rPr>
      </w:pPr>
      <w:bookmarkStart w:id="0" w:name="_gjdgxs" w:colFirst="0" w:colLast="0"/>
      <w:bookmarkEnd w:id="0"/>
      <w:r>
        <w:rPr>
          <w:rFonts w:ascii="Times New Roman" w:eastAsia="Times New Roman" w:hAnsi="Times New Roman" w:cs="Times New Roman"/>
          <w:b/>
          <w:bCs/>
          <w:color w:val="252424"/>
          <w:sz w:val="24"/>
          <w:szCs w:val="24"/>
        </w:rPr>
        <w:t>АДАПТИВНІ МЕТОДИКИ ПІДГОТОВКИ ПАЦІЄНТІВ ДО ПЛАСТИКИ ВЕЛИКИХ ПІСЛЯОПЕРАЦІЙНИХ</w:t>
      </w:r>
      <w:r w:rsidR="00F6159D">
        <w:rPr>
          <w:rFonts w:ascii="Times New Roman" w:eastAsia="Times New Roman" w:hAnsi="Times New Roman" w:cs="Times New Roman"/>
          <w:b/>
          <w:bCs/>
          <w:color w:val="252424"/>
          <w:sz w:val="24"/>
          <w:szCs w:val="24"/>
          <w:lang w:val="uk-UA"/>
        </w:rPr>
        <w:t xml:space="preserve"> ВЕНТРАЛЬНИХ </w:t>
      </w:r>
      <w:r>
        <w:rPr>
          <w:rFonts w:ascii="Times New Roman" w:eastAsia="Times New Roman" w:hAnsi="Times New Roman" w:cs="Times New Roman"/>
          <w:b/>
          <w:bCs/>
          <w:color w:val="252424"/>
          <w:sz w:val="24"/>
          <w:szCs w:val="24"/>
        </w:rPr>
        <w:t>ГРИЖ З ВТРАТОЮ ДОМЕНУ</w:t>
      </w:r>
    </w:p>
    <w:p w14:paraId="00000002" w14:textId="77777777" w:rsidR="00645A4C" w:rsidRDefault="00645A4C">
      <w:pPr>
        <w:spacing w:line="240" w:lineRule="auto"/>
        <w:ind w:right="-115" w:firstLine="142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0000003" w14:textId="77777777" w:rsidR="00645A4C" w:rsidRDefault="00602C27">
      <w:pPr>
        <w:spacing w:line="240" w:lineRule="auto"/>
        <w:ind w:right="-115" w:firstLine="142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Кузнецов О. О.</w:t>
      </w:r>
    </w:p>
    <w:p w14:paraId="00000004" w14:textId="77777777" w:rsidR="00645A4C" w:rsidRDefault="00645A4C">
      <w:pPr>
        <w:spacing w:line="240" w:lineRule="auto"/>
        <w:ind w:right="-115" w:firstLine="142"/>
        <w:jc w:val="center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00000005" w14:textId="77777777" w:rsidR="00645A4C" w:rsidRDefault="00602C27">
      <w:pPr>
        <w:spacing w:line="240" w:lineRule="auto"/>
        <w:ind w:right="-115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Науковий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керівник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д.мед.н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.,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професор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Білянський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Л. С.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06" w14:textId="77777777" w:rsidR="00645A4C" w:rsidRDefault="00602C27">
      <w:pPr>
        <w:spacing w:line="240" w:lineRule="auto"/>
        <w:ind w:right="-115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Кафедра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хірургії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№1</w:t>
      </w:r>
    </w:p>
    <w:p w14:paraId="00000007" w14:textId="77777777" w:rsidR="00645A4C" w:rsidRDefault="00602C27">
      <w:pPr>
        <w:spacing w:line="240" w:lineRule="auto"/>
        <w:ind w:right="-115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Завідувач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кафедри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д.мед.н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.,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професор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Пойда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О. І.</w:t>
      </w:r>
    </w:p>
    <w:p w14:paraId="00000008" w14:textId="77777777" w:rsidR="00645A4C" w:rsidRDefault="00602C27">
      <w:pPr>
        <w:spacing w:line="240" w:lineRule="auto"/>
        <w:ind w:right="-115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Національний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медичний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університет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імені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О. О.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Богомольця</w:t>
      </w:r>
      <w:proofErr w:type="spellEnd"/>
    </w:p>
    <w:p w14:paraId="00000009" w14:textId="77777777" w:rsidR="00645A4C" w:rsidRDefault="00602C27">
      <w:pPr>
        <w:spacing w:line="240" w:lineRule="auto"/>
        <w:ind w:right="-115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м.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Київ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Україна</w:t>
      </w:r>
      <w:proofErr w:type="spellEnd"/>
    </w:p>
    <w:p w14:paraId="0000000A" w14:textId="77777777" w:rsidR="00645A4C" w:rsidRDefault="00645A4C">
      <w:pPr>
        <w:shd w:val="clear" w:color="auto" w:fill="FFFFFF"/>
        <w:spacing w:line="240" w:lineRule="auto"/>
        <w:ind w:right="-115" w:firstLine="567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00B" w14:textId="31678160" w:rsidR="00645A4C" w:rsidRDefault="00602C27">
      <w:pPr>
        <w:shd w:val="clear" w:color="auto" w:fill="FFFFFF"/>
        <w:spacing w:line="240" w:lineRule="auto"/>
        <w:ind w:right="-120" w:firstLine="56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Актуальність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Післяопераційна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грижа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поширене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ускладнення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оперативних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втручань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на органах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черевної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порожнини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яке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спостерігається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у 5,1-31,8%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пацієнтів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[1]. За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класифікацією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Європейського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товариства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герніологів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(EHS): велика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вентральна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грижа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визначається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як дефект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черевної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стінки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понад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10 см в ширину (W3&gt;10cm) [2].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Проте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в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хірургічній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практиці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зустрічаються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дефекти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значно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більшої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ширини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лікування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яких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потребує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спеціальних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технологій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методів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профілактики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ускладнень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пов’язаних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внутрішньочеревною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гіпертензією</w:t>
      </w:r>
      <w:proofErr w:type="spellEnd"/>
      <w:r w:rsidR="0016659D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та дихальною недостатністю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Особливої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уваги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заслугову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ть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дефекти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черевної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стінки</w:t>
      </w:r>
      <w:r>
        <w:rPr>
          <w:rFonts w:ascii="Times New Roman" w:eastAsia="Times New Roman" w:hAnsi="Times New Roman" w:cs="Times New Roman"/>
          <w:sz w:val="24"/>
          <w:szCs w:val="24"/>
        </w:rPr>
        <w:t>, як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і перевищують ширину в 10 см, коли значна частина органів черевної порожнини знаходиться поза її межами. Такий стан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отримав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назву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«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loss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domain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»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(LOD)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або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втрата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домену.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Він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визначає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співвідношення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об’єму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грижового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мішка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який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знаходиться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поза межами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черевної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порожнини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до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об’єму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самої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черевної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порожнини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Формулу для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розрахунків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запропонував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Tanaka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співавт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у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вигляді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індексу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що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визначається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за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допомогою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комп’ютерної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томографії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черевної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порожнини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[3].</w:t>
      </w:r>
    </w:p>
    <w:p w14:paraId="0000000C" w14:textId="0A467573" w:rsidR="00645A4C" w:rsidRPr="00DC5053" w:rsidRDefault="00602C27">
      <w:pPr>
        <w:shd w:val="clear" w:color="auto" w:fill="FFFFFF"/>
        <w:spacing w:line="240" w:lineRule="auto"/>
        <w:ind w:right="-120" w:firstLine="56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Зменшений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об’єм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черевної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порожнини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пов’язаний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хронічною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латеральною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ретракцією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латералізацією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)</w:t>
      </w:r>
      <w:r w:rsidRPr="00602C2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прямих м’язів живота, унеможливлює первинне </w:t>
      </w:r>
      <w:proofErr w:type="spellStart"/>
      <w:r w:rsidRPr="00602C27">
        <w:rPr>
          <w:rFonts w:ascii="Times New Roman" w:eastAsia="Times New Roman" w:hAnsi="Times New Roman" w:cs="Times New Roman"/>
          <w:sz w:val="24"/>
          <w:szCs w:val="24"/>
          <w:lang w:val="uk-UA"/>
        </w:rPr>
        <w:t>фасціальне</w:t>
      </w:r>
      <w:proofErr w:type="spellEnd"/>
      <w:r w:rsidRPr="00602C2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закриття внаслідок високого потенційного ризику розвитку внутрішньочеревної гіпертензії, абдомінального </w:t>
      </w:r>
      <w:proofErr w:type="spellStart"/>
      <w:r w:rsidRPr="00602C27">
        <w:rPr>
          <w:rFonts w:ascii="Times New Roman" w:eastAsia="Times New Roman" w:hAnsi="Times New Roman" w:cs="Times New Roman"/>
          <w:sz w:val="24"/>
          <w:szCs w:val="24"/>
          <w:lang w:val="uk-UA"/>
        </w:rPr>
        <w:t>компартмент</w:t>
      </w:r>
      <w:proofErr w:type="spellEnd"/>
      <w:r w:rsidRPr="00602C2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-синдрому, гострого респіраторного </w:t>
      </w:r>
      <w:proofErr w:type="spellStart"/>
      <w:r w:rsidRPr="00602C27">
        <w:rPr>
          <w:rFonts w:ascii="Times New Roman" w:eastAsia="Times New Roman" w:hAnsi="Times New Roman" w:cs="Times New Roman"/>
          <w:sz w:val="24"/>
          <w:szCs w:val="24"/>
          <w:lang w:val="uk-UA"/>
        </w:rPr>
        <w:t>дистрес</w:t>
      </w:r>
      <w:proofErr w:type="spellEnd"/>
      <w:r w:rsidRPr="00602C2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-синдрому та високої ймовірності рецидиву грижового дефекту. </w:t>
      </w:r>
      <w:r w:rsidRPr="00DC5053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Через це дана категорія пацієнтів потребує особливої передопераційної підготовки, до якої належить застосування адаптивних </w:t>
      </w:r>
      <w:proofErr w:type="spellStart"/>
      <w:r w:rsidRPr="00DC5053">
        <w:rPr>
          <w:rFonts w:ascii="Times New Roman" w:eastAsia="Times New Roman" w:hAnsi="Times New Roman" w:cs="Times New Roman"/>
          <w:sz w:val="24"/>
          <w:szCs w:val="24"/>
          <w:lang w:val="uk-UA"/>
        </w:rPr>
        <w:t>методик</w:t>
      </w:r>
      <w:proofErr w:type="spellEnd"/>
      <w:r w:rsidRPr="00DC5053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, а саме, прогресуючого </w:t>
      </w:r>
      <w:proofErr w:type="spellStart"/>
      <w:r w:rsidRPr="00DC5053">
        <w:rPr>
          <w:rFonts w:ascii="Times New Roman" w:eastAsia="Times New Roman" w:hAnsi="Times New Roman" w:cs="Times New Roman"/>
          <w:sz w:val="24"/>
          <w:szCs w:val="24"/>
          <w:lang w:val="uk-UA"/>
        </w:rPr>
        <w:t>пневмоперитонеуму</w:t>
      </w:r>
      <w:proofErr w:type="spellEnd"/>
      <w:r w:rsidRPr="00DC5053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(</w:t>
      </w:r>
      <w:r>
        <w:rPr>
          <w:rFonts w:ascii="Times New Roman" w:eastAsia="Times New Roman" w:hAnsi="Times New Roman" w:cs="Times New Roman"/>
          <w:sz w:val="24"/>
          <w:szCs w:val="24"/>
        </w:rPr>
        <w:t>PPP</w:t>
      </w:r>
      <w:r w:rsidRPr="00DC5053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) та медикаментозної релаксації бокових м’язів живота за допомогою ін’єкцій </w:t>
      </w:r>
      <w:proofErr w:type="spellStart"/>
      <w:r w:rsidRPr="00DC5053">
        <w:rPr>
          <w:rFonts w:ascii="Times New Roman" w:eastAsia="Times New Roman" w:hAnsi="Times New Roman" w:cs="Times New Roman"/>
          <w:sz w:val="24"/>
          <w:szCs w:val="24"/>
          <w:lang w:val="uk-UA"/>
        </w:rPr>
        <w:t>ботулотоксину</w:t>
      </w:r>
      <w:proofErr w:type="spellEnd"/>
      <w:r w:rsidRPr="00DC5053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А (</w:t>
      </w:r>
      <w:r>
        <w:rPr>
          <w:rFonts w:ascii="Times New Roman" w:eastAsia="Times New Roman" w:hAnsi="Times New Roman" w:cs="Times New Roman"/>
          <w:sz w:val="24"/>
          <w:szCs w:val="24"/>
        </w:rPr>
        <w:t>BTA</w:t>
      </w:r>
      <w:r w:rsidRPr="00DC5053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). </w:t>
      </w:r>
    </w:p>
    <w:p w14:paraId="0000000D" w14:textId="6936CCB6" w:rsidR="00645A4C" w:rsidRPr="00DC5053" w:rsidRDefault="00602C27" w:rsidP="00DC5053">
      <w:pPr>
        <w:shd w:val="clear" w:color="auto" w:fill="FFFFFF"/>
        <w:spacing w:line="240" w:lineRule="auto"/>
        <w:ind w:right="-120" w:firstLine="56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DC5053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Мета роботи: </w:t>
      </w:r>
      <w:r w:rsidR="00DC5053" w:rsidRPr="00DC5053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Покращення результатів лікування хворих з великими дефектами черевної стінки з </w:t>
      </w:r>
      <w:r w:rsidR="00DC5053">
        <w:rPr>
          <w:rFonts w:ascii="Times New Roman" w:eastAsia="Times New Roman" w:hAnsi="Times New Roman" w:cs="Times New Roman"/>
          <w:sz w:val="24"/>
          <w:szCs w:val="24"/>
          <w:lang w:val="en-US"/>
        </w:rPr>
        <w:t>LOD</w:t>
      </w:r>
      <w:r w:rsidR="00DC5053" w:rsidRPr="00DC5053">
        <w:rPr>
          <w:rFonts w:ascii="Times New Roman" w:eastAsia="Times New Roman" w:hAnsi="Times New Roman" w:cs="Times New Roman"/>
          <w:sz w:val="24"/>
          <w:szCs w:val="24"/>
          <w:lang w:val="uk-UA"/>
        </w:rPr>
        <w:t>, завдяки застосуванню</w:t>
      </w:r>
      <w:r w:rsidR="00DC5053" w:rsidRPr="00DC5053">
        <w:rPr>
          <w:rFonts w:ascii="Times New Roman" w:hAnsi="Times New Roman" w:cs="Times New Roman"/>
          <w:sz w:val="24"/>
          <w:szCs w:val="24"/>
          <w:lang w:val="uk-UA"/>
        </w:rPr>
        <w:t xml:space="preserve"> комбінації </w:t>
      </w:r>
      <w:r w:rsidR="00DC5053" w:rsidRPr="00DC5053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адаптивних методів </w:t>
      </w:r>
      <w:proofErr w:type="spellStart"/>
      <w:r w:rsidR="00DC5053" w:rsidRPr="00DC5053">
        <w:rPr>
          <w:rFonts w:ascii="Times New Roman" w:eastAsia="Times New Roman" w:hAnsi="Times New Roman" w:cs="Times New Roman"/>
          <w:sz w:val="24"/>
          <w:szCs w:val="24"/>
          <w:lang w:val="uk-UA"/>
        </w:rPr>
        <w:t>периопераційної</w:t>
      </w:r>
      <w:proofErr w:type="spellEnd"/>
      <w:r w:rsidR="00DC5053" w:rsidRPr="00DC5053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підготовки</w:t>
      </w:r>
      <w:r w:rsidR="007B3EBD"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</w:p>
    <w:p w14:paraId="0000000E" w14:textId="645870A3" w:rsidR="00645A4C" w:rsidRPr="00DC5053" w:rsidRDefault="00602C27" w:rsidP="00321A7E">
      <w:pPr>
        <w:shd w:val="clear" w:color="auto" w:fill="FFFFFF"/>
        <w:spacing w:line="240" w:lineRule="auto"/>
        <w:ind w:right="-120" w:firstLine="56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  <w:lang w:val="uk-UA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Методи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дослідження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Процедуру PPP проведено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загалом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у 45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пацієнтів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у 19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пацієнтів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на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початкових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етапах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дослідження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до 2019 року, PPP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проводився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без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застосування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BTA. У 26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випадках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PPP </w:t>
      </w:r>
      <w:r w:rsidR="003E10BA">
        <w:rPr>
          <w:rFonts w:ascii="Times New Roman" w:eastAsia="Times New Roman" w:hAnsi="Times New Roman" w:cs="Times New Roman"/>
          <w:sz w:val="24"/>
          <w:szCs w:val="24"/>
          <w:lang w:val="uk-UA"/>
        </w:rPr>
        <w:t>використовували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через 2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тижні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після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введення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BTA за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стандартним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протоколом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загалом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200-300 Од у 3 точках по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передній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пахвовій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лінії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обох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боків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Середній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об’єм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введеного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повітря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в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обох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групах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склав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8500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±3400 см3,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протягом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12,3±2,5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днів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від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9 до 15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днів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).</w:t>
      </w:r>
      <w:r w:rsidR="00DC5053">
        <w:rPr>
          <w:rFonts w:ascii="Times New Roman" w:eastAsia="Times New Roman" w:hAnsi="Times New Roman" w:cs="Times New Roman"/>
          <w:sz w:val="24"/>
          <w:szCs w:val="24"/>
          <w:highlight w:val="white"/>
          <w:lang w:val="uk-UA"/>
        </w:rPr>
        <w:t xml:space="preserve"> Крім зазначених </w:t>
      </w:r>
      <w:proofErr w:type="spellStart"/>
      <w:r w:rsidR="00DC5053">
        <w:rPr>
          <w:rFonts w:ascii="Times New Roman" w:eastAsia="Times New Roman" w:hAnsi="Times New Roman" w:cs="Times New Roman"/>
          <w:sz w:val="24"/>
          <w:szCs w:val="24"/>
          <w:highlight w:val="white"/>
          <w:lang w:val="uk-UA"/>
        </w:rPr>
        <w:t>периопераційних</w:t>
      </w:r>
      <w:proofErr w:type="spellEnd"/>
      <w:r w:rsidR="00DC5053">
        <w:rPr>
          <w:rFonts w:ascii="Times New Roman" w:eastAsia="Times New Roman" w:hAnsi="Times New Roman" w:cs="Times New Roman"/>
          <w:sz w:val="24"/>
          <w:szCs w:val="24"/>
          <w:highlight w:val="white"/>
          <w:lang w:val="uk-UA"/>
        </w:rPr>
        <w:t xml:space="preserve"> метод</w:t>
      </w:r>
      <w:r w:rsidR="003E10BA">
        <w:rPr>
          <w:rFonts w:ascii="Times New Roman" w:eastAsia="Times New Roman" w:hAnsi="Times New Roman" w:cs="Times New Roman"/>
          <w:sz w:val="24"/>
          <w:szCs w:val="24"/>
          <w:highlight w:val="white"/>
          <w:lang w:val="uk-UA"/>
        </w:rPr>
        <w:t xml:space="preserve">ів підготовки, </w:t>
      </w:r>
      <w:r w:rsidR="00DC5053">
        <w:rPr>
          <w:rFonts w:ascii="Times New Roman" w:eastAsia="Times New Roman" w:hAnsi="Times New Roman" w:cs="Times New Roman"/>
          <w:sz w:val="24"/>
          <w:szCs w:val="24"/>
          <w:highlight w:val="white"/>
          <w:lang w:val="uk-UA"/>
        </w:rPr>
        <w:t xml:space="preserve">18 пацієнтам виконано </w:t>
      </w:r>
      <w:proofErr w:type="spellStart"/>
      <w:r w:rsidR="00DC5053">
        <w:rPr>
          <w:rFonts w:ascii="Times New Roman" w:eastAsia="Times New Roman" w:hAnsi="Times New Roman" w:cs="Times New Roman"/>
          <w:sz w:val="24"/>
          <w:szCs w:val="24"/>
          <w:highlight w:val="white"/>
          <w:lang w:val="uk-UA"/>
        </w:rPr>
        <w:t>інтраопераційний</w:t>
      </w:r>
      <w:proofErr w:type="spellEnd"/>
      <w:r w:rsidR="00DC5053">
        <w:rPr>
          <w:rFonts w:ascii="Times New Roman" w:eastAsia="Times New Roman" w:hAnsi="Times New Roman" w:cs="Times New Roman"/>
          <w:sz w:val="24"/>
          <w:szCs w:val="24"/>
          <w:highlight w:val="white"/>
          <w:lang w:val="uk-UA"/>
        </w:rPr>
        <w:t xml:space="preserve"> пролонгований </w:t>
      </w:r>
      <w:proofErr w:type="spellStart"/>
      <w:r w:rsidR="00DC5053">
        <w:rPr>
          <w:rFonts w:ascii="Times New Roman" w:eastAsia="Times New Roman" w:hAnsi="Times New Roman" w:cs="Times New Roman"/>
          <w:sz w:val="24"/>
          <w:szCs w:val="24"/>
          <w:highlight w:val="white"/>
          <w:lang w:val="uk-UA"/>
        </w:rPr>
        <w:t>фасціальний</w:t>
      </w:r>
      <w:proofErr w:type="spellEnd"/>
      <w:r w:rsidR="00DC5053">
        <w:rPr>
          <w:rFonts w:ascii="Times New Roman" w:eastAsia="Times New Roman" w:hAnsi="Times New Roman" w:cs="Times New Roman"/>
          <w:sz w:val="24"/>
          <w:szCs w:val="24"/>
          <w:highlight w:val="white"/>
          <w:lang w:val="uk-UA"/>
        </w:rPr>
        <w:t xml:space="preserve"> натяг за допомогою модифікованог</w:t>
      </w:r>
      <w:r w:rsidR="00CB0128">
        <w:rPr>
          <w:rFonts w:ascii="Times New Roman" w:eastAsia="Times New Roman" w:hAnsi="Times New Roman" w:cs="Times New Roman"/>
          <w:sz w:val="24"/>
          <w:szCs w:val="24"/>
          <w:highlight w:val="white"/>
          <w:lang w:val="uk-UA"/>
        </w:rPr>
        <w:t>о апарату</w:t>
      </w:r>
      <w:r w:rsidR="00321A7E">
        <w:rPr>
          <w:rFonts w:ascii="Times New Roman" w:eastAsia="Times New Roman" w:hAnsi="Times New Roman" w:cs="Times New Roman"/>
          <w:sz w:val="24"/>
          <w:szCs w:val="24"/>
          <w:highlight w:val="white"/>
          <w:lang w:val="uk-UA"/>
        </w:rPr>
        <w:t xml:space="preserve"> </w:t>
      </w:r>
      <w:proofErr w:type="spellStart"/>
      <w:r w:rsidR="00321A7E" w:rsidRPr="00321A7E"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  <w:t>fasciotens</w:t>
      </w:r>
      <w:proofErr w:type="spellEnd"/>
      <w:r w:rsidR="00321A7E" w:rsidRPr="00321A7E"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  <w:drawing>
          <wp:inline distT="0" distB="0" distL="0" distR="0" wp14:anchorId="14369557" wp14:editId="2FE60ECF">
            <wp:extent cx="96982" cy="96982"/>
            <wp:effectExtent l="0" t="0" r="0" b="0"/>
            <wp:docPr id="667037339" name="Рисунок 2" descr="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®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634" cy="1006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21A7E" w:rsidRPr="00321A7E">
        <w:rPr>
          <w:rFonts w:ascii="Times New Roman" w:eastAsia="Times New Roman" w:hAnsi="Times New Roman" w:cs="Times New Roman"/>
          <w:sz w:val="24"/>
          <w:szCs w:val="24"/>
          <w:highlight w:val="white"/>
          <w:lang w:val="uk-UA"/>
        </w:rPr>
        <w:t>.</w:t>
      </w:r>
    </w:p>
    <w:p w14:paraId="0000000F" w14:textId="2EA7F00F" w:rsidR="00645A4C" w:rsidRDefault="00602C27">
      <w:pPr>
        <w:shd w:val="clear" w:color="auto" w:fill="FFFFFF"/>
        <w:spacing w:line="240" w:lineRule="auto"/>
        <w:ind w:right="-120" w:firstLine="56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DC5053"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  <w:lang w:val="uk-UA"/>
        </w:rPr>
        <w:t>Результати:</w:t>
      </w:r>
      <w:r w:rsidRPr="00DC5053">
        <w:rPr>
          <w:rFonts w:ascii="Times New Roman" w:eastAsia="Times New Roman" w:hAnsi="Times New Roman" w:cs="Times New Roman"/>
          <w:sz w:val="24"/>
          <w:szCs w:val="24"/>
          <w:highlight w:val="white"/>
          <w:lang w:val="uk-UA"/>
        </w:rPr>
        <w:t xml:space="preserve"> Застосування всього комплексу представлених </w:t>
      </w:r>
      <w:proofErr w:type="spellStart"/>
      <w:r w:rsidRPr="00DC5053">
        <w:rPr>
          <w:rFonts w:ascii="Times New Roman" w:eastAsia="Times New Roman" w:hAnsi="Times New Roman" w:cs="Times New Roman"/>
          <w:sz w:val="24"/>
          <w:szCs w:val="24"/>
          <w:highlight w:val="white"/>
          <w:lang w:val="uk-UA"/>
        </w:rPr>
        <w:t>методик</w:t>
      </w:r>
      <w:proofErr w:type="spellEnd"/>
      <w:r w:rsidRPr="00DC5053">
        <w:rPr>
          <w:rFonts w:ascii="Times New Roman" w:eastAsia="Times New Roman" w:hAnsi="Times New Roman" w:cs="Times New Roman"/>
          <w:sz w:val="24"/>
          <w:szCs w:val="24"/>
          <w:highlight w:val="white"/>
          <w:lang w:val="uk-UA"/>
        </w:rPr>
        <w:t xml:space="preserve">, а саме: введення </w:t>
      </w:r>
      <w:proofErr w:type="spellStart"/>
      <w:r w:rsidRPr="00DC5053">
        <w:rPr>
          <w:rFonts w:ascii="Times New Roman" w:eastAsia="Times New Roman" w:hAnsi="Times New Roman" w:cs="Times New Roman"/>
          <w:sz w:val="24"/>
          <w:szCs w:val="24"/>
          <w:highlight w:val="white"/>
          <w:lang w:val="uk-UA"/>
        </w:rPr>
        <w:t>ботулотоксину</w:t>
      </w:r>
      <w:proofErr w:type="spellEnd"/>
      <w:r w:rsidRPr="00DC5053">
        <w:rPr>
          <w:rFonts w:ascii="Times New Roman" w:eastAsia="Times New Roman" w:hAnsi="Times New Roman" w:cs="Times New Roman"/>
          <w:sz w:val="24"/>
          <w:szCs w:val="24"/>
          <w:highlight w:val="white"/>
          <w:lang w:val="uk-UA"/>
        </w:rPr>
        <w:t xml:space="preserve"> А, проведення передопераційного прогресуючого </w:t>
      </w:r>
      <w:proofErr w:type="spellStart"/>
      <w:r w:rsidRPr="00DC5053">
        <w:rPr>
          <w:rFonts w:ascii="Times New Roman" w:eastAsia="Times New Roman" w:hAnsi="Times New Roman" w:cs="Times New Roman"/>
          <w:sz w:val="24"/>
          <w:szCs w:val="24"/>
          <w:highlight w:val="white"/>
          <w:lang w:val="uk-UA"/>
        </w:rPr>
        <w:t>пневмоперитонеуму</w:t>
      </w:r>
      <w:proofErr w:type="spellEnd"/>
      <w:r w:rsidRPr="00DC5053">
        <w:rPr>
          <w:rFonts w:ascii="Times New Roman" w:eastAsia="Times New Roman" w:hAnsi="Times New Roman" w:cs="Times New Roman"/>
          <w:sz w:val="24"/>
          <w:szCs w:val="24"/>
          <w:highlight w:val="white"/>
          <w:lang w:val="uk-UA"/>
        </w:rPr>
        <w:t xml:space="preserve"> та </w:t>
      </w:r>
      <w:proofErr w:type="spellStart"/>
      <w:r w:rsidRPr="00DC5053">
        <w:rPr>
          <w:rFonts w:ascii="Times New Roman" w:eastAsia="Times New Roman" w:hAnsi="Times New Roman" w:cs="Times New Roman"/>
          <w:sz w:val="24"/>
          <w:szCs w:val="24"/>
          <w:highlight w:val="white"/>
          <w:lang w:val="uk-UA"/>
        </w:rPr>
        <w:t>інтраопераційний</w:t>
      </w:r>
      <w:proofErr w:type="spellEnd"/>
      <w:r w:rsidRPr="00DC5053">
        <w:rPr>
          <w:rFonts w:ascii="Times New Roman" w:eastAsia="Times New Roman" w:hAnsi="Times New Roman" w:cs="Times New Roman"/>
          <w:sz w:val="24"/>
          <w:szCs w:val="24"/>
          <w:highlight w:val="white"/>
          <w:lang w:val="uk-UA"/>
        </w:rPr>
        <w:t xml:space="preserve"> пролонгований </w:t>
      </w:r>
      <w:proofErr w:type="spellStart"/>
      <w:r w:rsidRPr="00DC5053">
        <w:rPr>
          <w:rFonts w:ascii="Times New Roman" w:eastAsia="Times New Roman" w:hAnsi="Times New Roman" w:cs="Times New Roman"/>
          <w:sz w:val="24"/>
          <w:szCs w:val="24"/>
          <w:highlight w:val="white"/>
          <w:lang w:val="uk-UA"/>
        </w:rPr>
        <w:t>фасціальний</w:t>
      </w:r>
      <w:proofErr w:type="spellEnd"/>
      <w:r w:rsidRPr="00DC5053">
        <w:rPr>
          <w:rFonts w:ascii="Times New Roman" w:eastAsia="Times New Roman" w:hAnsi="Times New Roman" w:cs="Times New Roman"/>
          <w:sz w:val="24"/>
          <w:szCs w:val="24"/>
          <w:highlight w:val="white"/>
          <w:lang w:val="uk-UA"/>
        </w:rPr>
        <w:t xml:space="preserve"> натяг</w:t>
      </w:r>
      <w:r w:rsidR="003E10BA">
        <w:rPr>
          <w:rFonts w:ascii="Times New Roman" w:eastAsia="Times New Roman" w:hAnsi="Times New Roman" w:cs="Times New Roman"/>
          <w:sz w:val="24"/>
          <w:szCs w:val="24"/>
          <w:highlight w:val="white"/>
          <w:lang w:val="uk-UA"/>
        </w:rPr>
        <w:t>;</w:t>
      </w:r>
      <w:r w:rsidRPr="00DC5053">
        <w:rPr>
          <w:rFonts w:ascii="Times New Roman" w:eastAsia="Times New Roman" w:hAnsi="Times New Roman" w:cs="Times New Roman"/>
          <w:sz w:val="24"/>
          <w:szCs w:val="24"/>
          <w:highlight w:val="white"/>
          <w:lang w:val="uk-UA"/>
        </w:rPr>
        <w:t xml:space="preserve"> виконано у </w:t>
      </w:r>
      <w:r w:rsidRPr="00DC5053">
        <w:rPr>
          <w:rFonts w:ascii="Times New Roman" w:eastAsia="Times New Roman" w:hAnsi="Times New Roman" w:cs="Times New Roman"/>
          <w:sz w:val="24"/>
          <w:szCs w:val="24"/>
          <w:highlight w:val="white"/>
          <w:lang w:val="uk-UA"/>
        </w:rPr>
        <w:lastRenderedPageBreak/>
        <w:t>18 пацієнтів з дефектами черевної стінки</w:t>
      </w:r>
      <w:r w:rsidR="003E10BA">
        <w:rPr>
          <w:rFonts w:ascii="Times New Roman" w:eastAsia="Times New Roman" w:hAnsi="Times New Roman" w:cs="Times New Roman"/>
          <w:sz w:val="24"/>
          <w:szCs w:val="24"/>
          <w:highlight w:val="white"/>
          <w:lang w:val="uk-UA"/>
        </w:rPr>
        <w:t xml:space="preserve"> </w:t>
      </w:r>
      <w:r w:rsidRPr="00DC5053">
        <w:rPr>
          <w:rFonts w:ascii="Times New Roman" w:eastAsia="Times New Roman" w:hAnsi="Times New Roman" w:cs="Times New Roman"/>
          <w:sz w:val="24"/>
          <w:szCs w:val="24"/>
          <w:highlight w:val="white"/>
          <w:lang w:val="uk-UA"/>
        </w:rPr>
        <w:t xml:space="preserve">у стані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loss</w:t>
      </w:r>
      <w:proofErr w:type="spellEnd"/>
      <w:r w:rsidRPr="00DC5053">
        <w:rPr>
          <w:rFonts w:ascii="Times New Roman" w:eastAsia="Times New Roman" w:hAnsi="Times New Roman" w:cs="Times New Roman"/>
          <w:sz w:val="24"/>
          <w:szCs w:val="24"/>
          <w:highlight w:val="white"/>
          <w:lang w:val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of</w:t>
      </w:r>
      <w:proofErr w:type="spellEnd"/>
      <w:r w:rsidRPr="00DC5053">
        <w:rPr>
          <w:rFonts w:ascii="Times New Roman" w:eastAsia="Times New Roman" w:hAnsi="Times New Roman" w:cs="Times New Roman"/>
          <w:sz w:val="24"/>
          <w:szCs w:val="24"/>
          <w:highlight w:val="white"/>
          <w:lang w:val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domain</w:t>
      </w:r>
      <w:proofErr w:type="spellEnd"/>
      <w:r w:rsidRPr="00DC5053">
        <w:rPr>
          <w:rFonts w:ascii="Times New Roman" w:eastAsia="Times New Roman" w:hAnsi="Times New Roman" w:cs="Times New Roman"/>
          <w:sz w:val="24"/>
          <w:szCs w:val="24"/>
          <w:highlight w:val="white"/>
          <w:lang w:val="uk-UA"/>
        </w:rPr>
        <w:t xml:space="preserve">.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Ширина дефекту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складала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25,8+6,5 см та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індексом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Танака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від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25% до 30%.</w:t>
      </w:r>
    </w:p>
    <w:p w14:paraId="00000010" w14:textId="77777777" w:rsidR="00645A4C" w:rsidRDefault="00602C27">
      <w:pPr>
        <w:shd w:val="clear" w:color="auto" w:fill="FFFFFF"/>
        <w:spacing w:line="240" w:lineRule="auto"/>
        <w:ind w:right="-120" w:firstLine="56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Внаслідок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проведеної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адаптивної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підготовки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у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всіх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без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виключення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хворих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після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завершення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процедури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фасціального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натягу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зводились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краї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дефекту,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що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дозволило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завершити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оперативні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втручання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з хорошим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функціональним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результатом.</w:t>
      </w:r>
    </w:p>
    <w:p w14:paraId="00000011" w14:textId="05A828A7" w:rsidR="00645A4C" w:rsidRPr="00CB0128" w:rsidRDefault="00602C27" w:rsidP="00CB0128">
      <w:pPr>
        <w:shd w:val="clear" w:color="auto" w:fill="FFFFFF"/>
        <w:spacing w:line="240" w:lineRule="auto"/>
        <w:ind w:right="-120" w:firstLine="560"/>
        <w:jc w:val="both"/>
        <w:rPr>
          <w:lang w:val="ru-RU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Висновки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="00CB0128" w:rsidRPr="00CB0128">
        <w:rPr>
          <w:rFonts w:ascii="Times New Roman" w:eastAsia="Times New Roman" w:hAnsi="Times New Roman" w:cs="Times New Roman"/>
          <w:sz w:val="24"/>
          <w:szCs w:val="24"/>
        </w:rPr>
        <w:t>Отримані</w:t>
      </w:r>
      <w:proofErr w:type="spellEnd"/>
      <w:r w:rsidR="00CB0128" w:rsidRPr="00CB01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B0128" w:rsidRPr="00CB0128">
        <w:rPr>
          <w:rFonts w:ascii="Times New Roman" w:eastAsia="Times New Roman" w:hAnsi="Times New Roman" w:cs="Times New Roman"/>
          <w:sz w:val="24"/>
          <w:szCs w:val="24"/>
        </w:rPr>
        <w:t>результати</w:t>
      </w:r>
      <w:proofErr w:type="spellEnd"/>
      <w:r w:rsidR="00CB0128" w:rsidRPr="00CB01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B0128" w:rsidRPr="00CB0128">
        <w:rPr>
          <w:rFonts w:ascii="Times New Roman" w:eastAsia="Times New Roman" w:hAnsi="Times New Roman" w:cs="Times New Roman"/>
          <w:sz w:val="24"/>
          <w:szCs w:val="24"/>
        </w:rPr>
        <w:t>відповідають</w:t>
      </w:r>
      <w:proofErr w:type="spellEnd"/>
      <w:r w:rsidR="00CB0128" w:rsidRPr="00CB01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B0128" w:rsidRPr="00CB0128">
        <w:rPr>
          <w:rFonts w:ascii="Times New Roman" w:eastAsia="Times New Roman" w:hAnsi="Times New Roman" w:cs="Times New Roman"/>
          <w:sz w:val="24"/>
          <w:szCs w:val="24"/>
        </w:rPr>
        <w:t>даним</w:t>
      </w:r>
      <w:proofErr w:type="spellEnd"/>
      <w:r w:rsidR="00CB0128" w:rsidRPr="00CB01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B0128" w:rsidRPr="00CB0128">
        <w:rPr>
          <w:rFonts w:ascii="Times New Roman" w:eastAsia="Times New Roman" w:hAnsi="Times New Roman" w:cs="Times New Roman"/>
          <w:sz w:val="24"/>
          <w:szCs w:val="24"/>
        </w:rPr>
        <w:t>літератури</w:t>
      </w:r>
      <w:proofErr w:type="spellEnd"/>
      <w:r w:rsidR="00CB0128" w:rsidRPr="00CB0128"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 w:rsidR="00CB0128" w:rsidRPr="00CB0128">
        <w:rPr>
          <w:rFonts w:ascii="Times New Roman" w:eastAsia="Times New Roman" w:hAnsi="Times New Roman" w:cs="Times New Roman"/>
          <w:sz w:val="24"/>
          <w:szCs w:val="24"/>
        </w:rPr>
        <w:t>підтверджують</w:t>
      </w:r>
      <w:proofErr w:type="spellEnd"/>
      <w:r w:rsidR="00CB0128" w:rsidRPr="00CB012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CB0128" w:rsidRPr="00CB0128">
        <w:rPr>
          <w:rFonts w:ascii="Times New Roman" w:eastAsia="Times New Roman" w:hAnsi="Times New Roman" w:cs="Times New Roman"/>
          <w:sz w:val="24"/>
          <w:szCs w:val="24"/>
        </w:rPr>
        <w:t>що</w:t>
      </w:r>
      <w:proofErr w:type="spellEnd"/>
      <w:r w:rsidR="00CB0128" w:rsidRPr="00CB01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B0128" w:rsidRPr="00CB0128">
        <w:rPr>
          <w:rFonts w:ascii="Times New Roman" w:eastAsia="Times New Roman" w:hAnsi="Times New Roman" w:cs="Times New Roman"/>
          <w:sz w:val="24"/>
          <w:szCs w:val="24"/>
        </w:rPr>
        <w:t>комбінація</w:t>
      </w:r>
      <w:proofErr w:type="spellEnd"/>
      <w:r w:rsidR="00CB0128" w:rsidRPr="00CB01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B0128" w:rsidRPr="00CB0128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адаптивних </w:t>
      </w:r>
      <w:proofErr w:type="spellStart"/>
      <w:r w:rsidR="00CB0128" w:rsidRPr="00CB0128">
        <w:rPr>
          <w:rFonts w:ascii="Times New Roman" w:eastAsia="Times New Roman" w:hAnsi="Times New Roman" w:cs="Times New Roman"/>
          <w:sz w:val="24"/>
          <w:szCs w:val="24"/>
          <w:lang w:val="uk-UA"/>
        </w:rPr>
        <w:t>периопераційних</w:t>
      </w:r>
      <w:proofErr w:type="spellEnd"/>
      <w:r w:rsidR="00CB0128" w:rsidRPr="00CB0128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методів </w:t>
      </w:r>
      <w:r w:rsidR="00CB0128" w:rsidRPr="00CB0128">
        <w:rPr>
          <w:rFonts w:ascii="Times New Roman" w:eastAsia="Times New Roman" w:hAnsi="Times New Roman" w:cs="Times New Roman"/>
          <w:sz w:val="24"/>
          <w:szCs w:val="24"/>
          <w:lang w:val="en-US"/>
        </w:rPr>
        <w:t>PPP</w:t>
      </w:r>
      <w:r w:rsidR="00CB0128" w:rsidRPr="00CB0128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та</w:t>
      </w:r>
      <w:r w:rsidR="00CB0128" w:rsidRPr="00CB01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B0128" w:rsidRPr="00CB0128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ін’єкцій </w:t>
      </w:r>
      <w:r w:rsidR="00CB0128" w:rsidRPr="00CB0128">
        <w:rPr>
          <w:rFonts w:ascii="Times New Roman" w:eastAsia="Times New Roman" w:hAnsi="Times New Roman" w:cs="Times New Roman"/>
          <w:sz w:val="24"/>
          <w:szCs w:val="24"/>
          <w:lang w:val="en-US"/>
        </w:rPr>
        <w:t>BTA</w:t>
      </w:r>
      <w:r w:rsidR="00CB0128" w:rsidRPr="00CB01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B0128" w:rsidRPr="00CB0128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з </w:t>
      </w:r>
      <w:proofErr w:type="spellStart"/>
      <w:r w:rsidR="00CB0128" w:rsidRPr="00CB0128">
        <w:rPr>
          <w:rFonts w:ascii="Times New Roman" w:eastAsia="Times New Roman" w:hAnsi="Times New Roman" w:cs="Times New Roman"/>
          <w:sz w:val="24"/>
          <w:szCs w:val="24"/>
          <w:lang w:val="uk-UA"/>
        </w:rPr>
        <w:t>інтраопераційним</w:t>
      </w:r>
      <w:proofErr w:type="spellEnd"/>
      <w:r w:rsidR="00CB0128" w:rsidRPr="00CB0128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пролонгованим </w:t>
      </w:r>
      <w:proofErr w:type="spellStart"/>
      <w:r w:rsidR="00CB0128" w:rsidRPr="00CB0128">
        <w:rPr>
          <w:rFonts w:ascii="Times New Roman" w:eastAsia="Times New Roman" w:hAnsi="Times New Roman" w:cs="Times New Roman"/>
          <w:sz w:val="24"/>
          <w:szCs w:val="24"/>
          <w:lang w:val="uk-UA"/>
        </w:rPr>
        <w:t>фасціальним</w:t>
      </w:r>
      <w:proofErr w:type="spellEnd"/>
      <w:r w:rsidR="00CB0128" w:rsidRPr="00CB0128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натягом </w:t>
      </w:r>
      <w:r w:rsidR="00CB0128" w:rsidRPr="00CB0128">
        <w:rPr>
          <w:rFonts w:ascii="Times New Roman" w:eastAsia="Times New Roman" w:hAnsi="Times New Roman" w:cs="Times New Roman"/>
          <w:sz w:val="24"/>
          <w:szCs w:val="24"/>
        </w:rPr>
        <w:t xml:space="preserve">— </w:t>
      </w:r>
      <w:proofErr w:type="spellStart"/>
      <w:r w:rsidR="00CB0128" w:rsidRPr="00CB0128">
        <w:rPr>
          <w:rFonts w:ascii="Times New Roman" w:eastAsia="Times New Roman" w:hAnsi="Times New Roman" w:cs="Times New Roman"/>
          <w:sz w:val="24"/>
          <w:szCs w:val="24"/>
        </w:rPr>
        <w:t>цілком</w:t>
      </w:r>
      <w:proofErr w:type="spellEnd"/>
      <w:r w:rsidR="00CB0128" w:rsidRPr="00CB01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B0128" w:rsidRPr="00CB0128">
        <w:rPr>
          <w:rFonts w:ascii="Times New Roman" w:eastAsia="Times New Roman" w:hAnsi="Times New Roman" w:cs="Times New Roman"/>
          <w:sz w:val="24"/>
          <w:szCs w:val="24"/>
        </w:rPr>
        <w:t>виправдан</w:t>
      </w:r>
      <w:r w:rsidR="00CB0128" w:rsidRPr="00CB0128">
        <w:rPr>
          <w:rFonts w:ascii="Times New Roman" w:eastAsia="Times New Roman" w:hAnsi="Times New Roman" w:cs="Times New Roman"/>
          <w:sz w:val="24"/>
          <w:szCs w:val="24"/>
          <w:lang w:val="uk-UA"/>
        </w:rPr>
        <w:t>ий</w:t>
      </w:r>
      <w:proofErr w:type="spellEnd"/>
      <w:r w:rsidR="00CB0128" w:rsidRPr="00CB0128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підхід у</w:t>
      </w:r>
      <w:r w:rsidR="00CB0128" w:rsidRPr="00CB01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B0128" w:rsidRPr="00CB0128">
        <w:rPr>
          <w:rFonts w:ascii="Times New Roman" w:eastAsia="Times New Roman" w:hAnsi="Times New Roman" w:cs="Times New Roman"/>
          <w:sz w:val="24"/>
          <w:szCs w:val="24"/>
        </w:rPr>
        <w:t>підготов</w:t>
      </w:r>
      <w:proofErr w:type="spellEnd"/>
      <w:r w:rsidR="00CB0128" w:rsidRPr="00CB0128">
        <w:rPr>
          <w:rFonts w:ascii="Times New Roman" w:eastAsia="Times New Roman" w:hAnsi="Times New Roman" w:cs="Times New Roman"/>
          <w:sz w:val="24"/>
          <w:szCs w:val="24"/>
          <w:lang w:val="uk-UA"/>
        </w:rPr>
        <w:t>ці</w:t>
      </w:r>
      <w:r w:rsidR="00CB0128" w:rsidRPr="00CB01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B0128" w:rsidRPr="00CB0128">
        <w:rPr>
          <w:rFonts w:ascii="Times New Roman" w:eastAsia="Times New Roman" w:hAnsi="Times New Roman" w:cs="Times New Roman"/>
          <w:sz w:val="24"/>
          <w:szCs w:val="24"/>
        </w:rPr>
        <w:t>пацієнтів</w:t>
      </w:r>
      <w:proofErr w:type="spellEnd"/>
      <w:r w:rsidR="00CB0128" w:rsidRPr="00CB0128">
        <w:rPr>
          <w:rFonts w:ascii="Times New Roman" w:eastAsia="Times New Roman" w:hAnsi="Times New Roman" w:cs="Times New Roman"/>
          <w:sz w:val="24"/>
          <w:szCs w:val="24"/>
        </w:rPr>
        <w:t xml:space="preserve"> до пластики великих </w:t>
      </w:r>
      <w:proofErr w:type="spellStart"/>
      <w:r w:rsidR="00CB0128" w:rsidRPr="00CB0128">
        <w:rPr>
          <w:rFonts w:ascii="Times New Roman" w:eastAsia="Times New Roman" w:hAnsi="Times New Roman" w:cs="Times New Roman"/>
          <w:sz w:val="24"/>
          <w:szCs w:val="24"/>
        </w:rPr>
        <w:t>вентральних</w:t>
      </w:r>
      <w:proofErr w:type="spellEnd"/>
      <w:r w:rsidR="00CB0128" w:rsidRPr="00CB01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B0128" w:rsidRPr="00CB0128">
        <w:rPr>
          <w:rFonts w:ascii="Times New Roman" w:eastAsia="Times New Roman" w:hAnsi="Times New Roman" w:cs="Times New Roman"/>
          <w:sz w:val="24"/>
          <w:szCs w:val="24"/>
        </w:rPr>
        <w:t>гриж</w:t>
      </w:r>
      <w:proofErr w:type="spellEnd"/>
      <w:r w:rsidR="00CB0128" w:rsidRPr="00CB0128">
        <w:rPr>
          <w:rFonts w:ascii="Times New Roman" w:eastAsia="Times New Roman" w:hAnsi="Times New Roman" w:cs="Times New Roman"/>
          <w:sz w:val="24"/>
          <w:szCs w:val="24"/>
        </w:rPr>
        <w:t xml:space="preserve"> з </w:t>
      </w:r>
      <w:proofErr w:type="spellStart"/>
      <w:r w:rsidR="00CB0128" w:rsidRPr="00CB0128">
        <w:rPr>
          <w:rFonts w:ascii="Times New Roman" w:eastAsia="Times New Roman" w:hAnsi="Times New Roman" w:cs="Times New Roman"/>
          <w:sz w:val="24"/>
          <w:szCs w:val="24"/>
        </w:rPr>
        <w:t>втратою</w:t>
      </w:r>
      <w:proofErr w:type="spellEnd"/>
      <w:r w:rsidR="00CB0128" w:rsidRPr="00CB0128">
        <w:rPr>
          <w:rFonts w:ascii="Times New Roman" w:eastAsia="Times New Roman" w:hAnsi="Times New Roman" w:cs="Times New Roman"/>
          <w:sz w:val="24"/>
          <w:szCs w:val="24"/>
        </w:rPr>
        <w:t xml:space="preserve"> домену, як</w:t>
      </w:r>
      <w:proofErr w:type="spellStart"/>
      <w:r w:rsidR="00CB0128" w:rsidRPr="00CB0128">
        <w:rPr>
          <w:rFonts w:ascii="Times New Roman" w:eastAsia="Times New Roman" w:hAnsi="Times New Roman" w:cs="Times New Roman"/>
          <w:sz w:val="24"/>
          <w:szCs w:val="24"/>
          <w:lang w:val="uk-UA"/>
        </w:rPr>
        <w:t>ий</w:t>
      </w:r>
      <w:proofErr w:type="spellEnd"/>
      <w:r w:rsidR="00CB0128" w:rsidRPr="00CB01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B0128" w:rsidRPr="00CB0128">
        <w:rPr>
          <w:rFonts w:ascii="Times New Roman" w:eastAsia="Times New Roman" w:hAnsi="Times New Roman" w:cs="Times New Roman"/>
          <w:sz w:val="24"/>
          <w:szCs w:val="24"/>
        </w:rPr>
        <w:t>суттєво</w:t>
      </w:r>
      <w:proofErr w:type="spellEnd"/>
      <w:r w:rsidR="00CB0128" w:rsidRPr="00CB01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B0128" w:rsidRPr="00CB0128">
        <w:rPr>
          <w:rFonts w:ascii="Times New Roman" w:eastAsia="Times New Roman" w:hAnsi="Times New Roman" w:cs="Times New Roman"/>
          <w:sz w:val="24"/>
          <w:szCs w:val="24"/>
        </w:rPr>
        <w:t>підвищує</w:t>
      </w:r>
      <w:proofErr w:type="spellEnd"/>
      <w:r w:rsidR="00CB0128" w:rsidRPr="00CB01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B0128" w:rsidRPr="00CB0128">
        <w:rPr>
          <w:rFonts w:ascii="Times New Roman" w:eastAsia="Times New Roman" w:hAnsi="Times New Roman" w:cs="Times New Roman"/>
          <w:sz w:val="24"/>
          <w:szCs w:val="24"/>
        </w:rPr>
        <w:t>ймовірність</w:t>
      </w:r>
      <w:proofErr w:type="spellEnd"/>
      <w:r w:rsidR="00CB0128" w:rsidRPr="00CB01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B0128" w:rsidRPr="00CB0128">
        <w:rPr>
          <w:rFonts w:ascii="Times New Roman" w:eastAsia="Times New Roman" w:hAnsi="Times New Roman" w:cs="Times New Roman"/>
          <w:sz w:val="24"/>
          <w:szCs w:val="24"/>
        </w:rPr>
        <w:t>успішного</w:t>
      </w:r>
      <w:proofErr w:type="spellEnd"/>
      <w:r w:rsidR="00CB0128" w:rsidRPr="00CB01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B0128" w:rsidRPr="00CB0128">
        <w:rPr>
          <w:rFonts w:ascii="Times New Roman" w:eastAsia="Times New Roman" w:hAnsi="Times New Roman" w:cs="Times New Roman"/>
          <w:sz w:val="24"/>
          <w:szCs w:val="24"/>
        </w:rPr>
        <w:t>первинного</w:t>
      </w:r>
      <w:proofErr w:type="spellEnd"/>
      <w:r w:rsidR="00CB0128" w:rsidRPr="00CB01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B0128" w:rsidRPr="00CB0128">
        <w:rPr>
          <w:rFonts w:ascii="Times New Roman" w:eastAsia="Times New Roman" w:hAnsi="Times New Roman" w:cs="Times New Roman"/>
          <w:sz w:val="24"/>
          <w:szCs w:val="24"/>
        </w:rPr>
        <w:t>фасціального</w:t>
      </w:r>
      <w:proofErr w:type="spellEnd"/>
      <w:r w:rsidR="00CB0128" w:rsidRPr="00CB01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B0128" w:rsidRPr="00CB0128">
        <w:rPr>
          <w:rFonts w:ascii="Times New Roman" w:eastAsia="Times New Roman" w:hAnsi="Times New Roman" w:cs="Times New Roman"/>
          <w:sz w:val="24"/>
          <w:szCs w:val="24"/>
        </w:rPr>
        <w:t>закриття</w:t>
      </w:r>
      <w:proofErr w:type="spellEnd"/>
      <w:r w:rsidR="00CB0128" w:rsidRPr="00CB012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12" w14:textId="59306641" w:rsidR="00645A4C" w:rsidRDefault="00602C27">
      <w:pPr>
        <w:shd w:val="clear" w:color="auto" w:fill="FFFFFF"/>
        <w:spacing w:line="240" w:lineRule="auto"/>
        <w:ind w:right="-120" w:firstLine="56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Ключові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слова: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велика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інцизійна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грижа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втрата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домену,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прогресивний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пневмоперитонеум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3E10BA">
        <w:rPr>
          <w:rFonts w:ascii="Times New Roman" w:eastAsia="Times New Roman" w:hAnsi="Times New Roman" w:cs="Times New Roman"/>
          <w:sz w:val="24"/>
          <w:szCs w:val="24"/>
          <w:lang w:val="uk-UA"/>
        </w:rPr>
        <w:t>б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отулотоксин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А</w:t>
      </w:r>
    </w:p>
    <w:p w14:paraId="00000013" w14:textId="77777777" w:rsidR="00645A4C" w:rsidRDefault="00645A4C">
      <w:pPr>
        <w:spacing w:line="240" w:lineRule="auto"/>
        <w:ind w:right="-115" w:firstLine="567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014" w14:textId="77777777" w:rsidR="00645A4C" w:rsidRDefault="00602C27">
      <w:pPr>
        <w:spacing w:line="240" w:lineRule="auto"/>
        <w:ind w:right="-115" w:firstLine="567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Джерела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00000015" w14:textId="77777777" w:rsidR="00645A4C" w:rsidRPr="00F6159D" w:rsidRDefault="00602C27">
      <w:pPr>
        <w:numPr>
          <w:ilvl w:val="0"/>
          <w:numId w:val="1"/>
        </w:numPr>
        <w:spacing w:line="240" w:lineRule="auto"/>
        <w:ind w:right="-115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6159D">
        <w:rPr>
          <w:rFonts w:ascii="Times New Roman" w:eastAsia="Times New Roman" w:hAnsi="Times New Roman" w:cs="Times New Roman"/>
          <w:color w:val="1B1B1B"/>
          <w:sz w:val="24"/>
          <w:szCs w:val="24"/>
          <w:highlight w:val="white"/>
          <w:lang w:val="en-US"/>
        </w:rPr>
        <w:t xml:space="preserve">Smith, L., Wilkes, E., Rolfe, C., Westlake, P., Cornish, J., Brooks, P., &amp; </w:t>
      </w:r>
      <w:proofErr w:type="spellStart"/>
      <w:r w:rsidRPr="00F6159D">
        <w:rPr>
          <w:rFonts w:ascii="Times New Roman" w:eastAsia="Times New Roman" w:hAnsi="Times New Roman" w:cs="Times New Roman"/>
          <w:color w:val="1B1B1B"/>
          <w:sz w:val="24"/>
          <w:szCs w:val="24"/>
          <w:highlight w:val="white"/>
          <w:lang w:val="en-US"/>
        </w:rPr>
        <w:t>Torkington</w:t>
      </w:r>
      <w:proofErr w:type="spellEnd"/>
      <w:r w:rsidRPr="00F6159D">
        <w:rPr>
          <w:rFonts w:ascii="Times New Roman" w:eastAsia="Times New Roman" w:hAnsi="Times New Roman" w:cs="Times New Roman"/>
          <w:color w:val="1B1B1B"/>
          <w:sz w:val="24"/>
          <w:szCs w:val="24"/>
          <w:highlight w:val="white"/>
          <w:lang w:val="en-US"/>
        </w:rPr>
        <w:t xml:space="preserve">, J. (2024). Incidence, Healthcare Resource Use and Costs Associated With Incisional Hernia Repair. </w:t>
      </w:r>
      <w:r w:rsidRPr="00F6159D">
        <w:rPr>
          <w:rFonts w:ascii="Times New Roman" w:eastAsia="Times New Roman" w:hAnsi="Times New Roman" w:cs="Times New Roman"/>
          <w:i/>
          <w:iCs/>
          <w:color w:val="1B1B1B"/>
          <w:sz w:val="24"/>
          <w:szCs w:val="24"/>
          <w:highlight w:val="white"/>
          <w:lang w:val="en-US"/>
        </w:rPr>
        <w:t>Journal of abdominal wall surgery : JAWS</w:t>
      </w:r>
      <w:r w:rsidRPr="00F6159D">
        <w:rPr>
          <w:rFonts w:ascii="Times New Roman" w:eastAsia="Times New Roman" w:hAnsi="Times New Roman" w:cs="Times New Roman"/>
          <w:color w:val="1B1B1B"/>
          <w:sz w:val="24"/>
          <w:szCs w:val="24"/>
          <w:highlight w:val="white"/>
          <w:lang w:val="en-US"/>
        </w:rPr>
        <w:t xml:space="preserve">, </w:t>
      </w:r>
      <w:r w:rsidRPr="00F6159D">
        <w:rPr>
          <w:rFonts w:ascii="Times New Roman" w:eastAsia="Times New Roman" w:hAnsi="Times New Roman" w:cs="Times New Roman"/>
          <w:i/>
          <w:iCs/>
          <w:color w:val="1B1B1B"/>
          <w:sz w:val="24"/>
          <w:szCs w:val="24"/>
          <w:highlight w:val="white"/>
          <w:lang w:val="en-US"/>
        </w:rPr>
        <w:t>3</w:t>
      </w:r>
      <w:r w:rsidRPr="00F6159D">
        <w:rPr>
          <w:rFonts w:ascii="Times New Roman" w:eastAsia="Times New Roman" w:hAnsi="Times New Roman" w:cs="Times New Roman"/>
          <w:color w:val="1B1B1B"/>
          <w:sz w:val="24"/>
          <w:szCs w:val="24"/>
          <w:highlight w:val="white"/>
          <w:lang w:val="en-US"/>
        </w:rPr>
        <w:t xml:space="preserve">, 12452. </w:t>
      </w:r>
      <w:hyperlink r:id="rId6">
        <w:r w:rsidR="00645A4C" w:rsidRPr="00F6159D">
          <w:rPr>
            <w:rFonts w:ascii="Times New Roman" w:eastAsia="Times New Roman" w:hAnsi="Times New Roman" w:cs="Times New Roman"/>
            <w:color w:val="1155CC"/>
            <w:sz w:val="24"/>
            <w:szCs w:val="24"/>
            <w:highlight w:val="white"/>
            <w:u w:val="single"/>
            <w:lang w:val="en-US"/>
          </w:rPr>
          <w:t>https://doi.org/10.3389/jaws.2024.12452</w:t>
        </w:r>
      </w:hyperlink>
    </w:p>
    <w:p w14:paraId="00000016" w14:textId="77777777" w:rsidR="00645A4C" w:rsidRPr="0016659D" w:rsidRDefault="00602C27">
      <w:pPr>
        <w:numPr>
          <w:ilvl w:val="0"/>
          <w:numId w:val="1"/>
        </w:numPr>
        <w:spacing w:line="240" w:lineRule="auto"/>
        <w:ind w:right="-115"/>
        <w:jc w:val="both"/>
        <w:rPr>
          <w:rFonts w:ascii="Times New Roman" w:eastAsia="Times New Roman" w:hAnsi="Times New Roman" w:cs="Times New Roman"/>
          <w:color w:val="1B1B1B"/>
          <w:sz w:val="24"/>
          <w:szCs w:val="24"/>
          <w:highlight w:val="white"/>
          <w:lang w:val="en-US"/>
        </w:rPr>
      </w:pPr>
      <w:proofErr w:type="spellStart"/>
      <w:r w:rsidRPr="00F6159D">
        <w:rPr>
          <w:rFonts w:ascii="Times New Roman" w:eastAsia="Times New Roman" w:hAnsi="Times New Roman" w:cs="Times New Roman"/>
          <w:color w:val="1B1B1B"/>
          <w:sz w:val="24"/>
          <w:szCs w:val="24"/>
          <w:highlight w:val="white"/>
          <w:lang w:val="en-US"/>
        </w:rPr>
        <w:t>Muysoms</w:t>
      </w:r>
      <w:proofErr w:type="spellEnd"/>
      <w:r w:rsidRPr="00F6159D">
        <w:rPr>
          <w:rFonts w:ascii="Times New Roman" w:eastAsia="Times New Roman" w:hAnsi="Times New Roman" w:cs="Times New Roman"/>
          <w:color w:val="1B1B1B"/>
          <w:sz w:val="24"/>
          <w:szCs w:val="24"/>
          <w:highlight w:val="white"/>
          <w:lang w:val="en-US"/>
        </w:rPr>
        <w:t xml:space="preserve">, F. E., </w:t>
      </w:r>
      <w:proofErr w:type="spellStart"/>
      <w:r w:rsidRPr="00F6159D">
        <w:rPr>
          <w:rFonts w:ascii="Times New Roman" w:eastAsia="Times New Roman" w:hAnsi="Times New Roman" w:cs="Times New Roman"/>
          <w:color w:val="1B1B1B"/>
          <w:sz w:val="24"/>
          <w:szCs w:val="24"/>
          <w:highlight w:val="white"/>
          <w:lang w:val="en-US"/>
        </w:rPr>
        <w:t>Miserez</w:t>
      </w:r>
      <w:proofErr w:type="spellEnd"/>
      <w:r w:rsidRPr="00F6159D">
        <w:rPr>
          <w:rFonts w:ascii="Times New Roman" w:eastAsia="Times New Roman" w:hAnsi="Times New Roman" w:cs="Times New Roman"/>
          <w:color w:val="1B1B1B"/>
          <w:sz w:val="24"/>
          <w:szCs w:val="24"/>
          <w:highlight w:val="white"/>
          <w:lang w:val="en-US"/>
        </w:rPr>
        <w:t xml:space="preserve">, M., </w:t>
      </w:r>
      <w:proofErr w:type="spellStart"/>
      <w:r w:rsidRPr="00F6159D">
        <w:rPr>
          <w:rFonts w:ascii="Times New Roman" w:eastAsia="Times New Roman" w:hAnsi="Times New Roman" w:cs="Times New Roman"/>
          <w:color w:val="1B1B1B"/>
          <w:sz w:val="24"/>
          <w:szCs w:val="24"/>
          <w:highlight w:val="white"/>
          <w:lang w:val="en-US"/>
        </w:rPr>
        <w:t>Berrevoet</w:t>
      </w:r>
      <w:proofErr w:type="spellEnd"/>
      <w:r w:rsidRPr="00F6159D">
        <w:rPr>
          <w:rFonts w:ascii="Times New Roman" w:eastAsia="Times New Roman" w:hAnsi="Times New Roman" w:cs="Times New Roman"/>
          <w:color w:val="1B1B1B"/>
          <w:sz w:val="24"/>
          <w:szCs w:val="24"/>
          <w:highlight w:val="white"/>
          <w:lang w:val="en-US"/>
        </w:rPr>
        <w:t xml:space="preserve">, F., Campanelli, G., </w:t>
      </w:r>
      <w:proofErr w:type="spellStart"/>
      <w:r w:rsidRPr="00F6159D">
        <w:rPr>
          <w:rFonts w:ascii="Times New Roman" w:eastAsia="Times New Roman" w:hAnsi="Times New Roman" w:cs="Times New Roman"/>
          <w:color w:val="1B1B1B"/>
          <w:sz w:val="24"/>
          <w:szCs w:val="24"/>
          <w:highlight w:val="white"/>
          <w:lang w:val="en-US"/>
        </w:rPr>
        <w:t>Champault</w:t>
      </w:r>
      <w:proofErr w:type="spellEnd"/>
      <w:r w:rsidRPr="00F6159D">
        <w:rPr>
          <w:rFonts w:ascii="Times New Roman" w:eastAsia="Times New Roman" w:hAnsi="Times New Roman" w:cs="Times New Roman"/>
          <w:color w:val="1B1B1B"/>
          <w:sz w:val="24"/>
          <w:szCs w:val="24"/>
          <w:highlight w:val="white"/>
          <w:lang w:val="en-US"/>
        </w:rPr>
        <w:t xml:space="preserve">, G. G., </w:t>
      </w:r>
      <w:proofErr w:type="spellStart"/>
      <w:r w:rsidRPr="00F6159D">
        <w:rPr>
          <w:rFonts w:ascii="Times New Roman" w:eastAsia="Times New Roman" w:hAnsi="Times New Roman" w:cs="Times New Roman"/>
          <w:color w:val="1B1B1B"/>
          <w:sz w:val="24"/>
          <w:szCs w:val="24"/>
          <w:highlight w:val="white"/>
          <w:lang w:val="en-US"/>
        </w:rPr>
        <w:t>Chelala</w:t>
      </w:r>
      <w:proofErr w:type="spellEnd"/>
      <w:r w:rsidRPr="00F6159D">
        <w:rPr>
          <w:rFonts w:ascii="Times New Roman" w:eastAsia="Times New Roman" w:hAnsi="Times New Roman" w:cs="Times New Roman"/>
          <w:color w:val="1B1B1B"/>
          <w:sz w:val="24"/>
          <w:szCs w:val="24"/>
          <w:highlight w:val="white"/>
          <w:lang w:val="en-US"/>
        </w:rPr>
        <w:t xml:space="preserve">, E., Dietz, U. A., Eker, H. H., El </w:t>
      </w:r>
      <w:proofErr w:type="spellStart"/>
      <w:r w:rsidRPr="00F6159D">
        <w:rPr>
          <w:rFonts w:ascii="Times New Roman" w:eastAsia="Times New Roman" w:hAnsi="Times New Roman" w:cs="Times New Roman"/>
          <w:color w:val="1B1B1B"/>
          <w:sz w:val="24"/>
          <w:szCs w:val="24"/>
          <w:highlight w:val="white"/>
          <w:lang w:val="en-US"/>
        </w:rPr>
        <w:t>Nakadi</w:t>
      </w:r>
      <w:proofErr w:type="spellEnd"/>
      <w:r w:rsidRPr="00F6159D">
        <w:rPr>
          <w:rFonts w:ascii="Times New Roman" w:eastAsia="Times New Roman" w:hAnsi="Times New Roman" w:cs="Times New Roman"/>
          <w:color w:val="1B1B1B"/>
          <w:sz w:val="24"/>
          <w:szCs w:val="24"/>
          <w:highlight w:val="white"/>
          <w:lang w:val="en-US"/>
        </w:rPr>
        <w:t xml:space="preserve">, I., </w:t>
      </w:r>
      <w:proofErr w:type="spellStart"/>
      <w:r w:rsidRPr="00F6159D">
        <w:rPr>
          <w:rFonts w:ascii="Times New Roman" w:eastAsia="Times New Roman" w:hAnsi="Times New Roman" w:cs="Times New Roman"/>
          <w:color w:val="1B1B1B"/>
          <w:sz w:val="24"/>
          <w:szCs w:val="24"/>
          <w:highlight w:val="white"/>
          <w:lang w:val="en-US"/>
        </w:rPr>
        <w:t>Hauters</w:t>
      </w:r>
      <w:proofErr w:type="spellEnd"/>
      <w:r w:rsidRPr="00F6159D">
        <w:rPr>
          <w:rFonts w:ascii="Times New Roman" w:eastAsia="Times New Roman" w:hAnsi="Times New Roman" w:cs="Times New Roman"/>
          <w:color w:val="1B1B1B"/>
          <w:sz w:val="24"/>
          <w:szCs w:val="24"/>
          <w:highlight w:val="white"/>
          <w:lang w:val="en-US"/>
        </w:rPr>
        <w:t xml:space="preserve">, P., Hidalgo Pascual, M., </w:t>
      </w:r>
      <w:proofErr w:type="spellStart"/>
      <w:r w:rsidRPr="00F6159D">
        <w:rPr>
          <w:rFonts w:ascii="Times New Roman" w:eastAsia="Times New Roman" w:hAnsi="Times New Roman" w:cs="Times New Roman"/>
          <w:color w:val="1B1B1B"/>
          <w:sz w:val="24"/>
          <w:szCs w:val="24"/>
          <w:highlight w:val="white"/>
          <w:lang w:val="en-US"/>
        </w:rPr>
        <w:t>Hoeferlin</w:t>
      </w:r>
      <w:proofErr w:type="spellEnd"/>
      <w:r w:rsidRPr="00F6159D">
        <w:rPr>
          <w:rFonts w:ascii="Times New Roman" w:eastAsia="Times New Roman" w:hAnsi="Times New Roman" w:cs="Times New Roman"/>
          <w:color w:val="1B1B1B"/>
          <w:sz w:val="24"/>
          <w:szCs w:val="24"/>
          <w:highlight w:val="white"/>
          <w:lang w:val="en-US"/>
        </w:rPr>
        <w:t xml:space="preserve">, A., Klinge, U., Montgomery, A., </w:t>
      </w:r>
      <w:proofErr w:type="spellStart"/>
      <w:r w:rsidRPr="00F6159D">
        <w:rPr>
          <w:rFonts w:ascii="Times New Roman" w:eastAsia="Times New Roman" w:hAnsi="Times New Roman" w:cs="Times New Roman"/>
          <w:color w:val="1B1B1B"/>
          <w:sz w:val="24"/>
          <w:szCs w:val="24"/>
          <w:highlight w:val="white"/>
          <w:lang w:val="en-US"/>
        </w:rPr>
        <w:t>Simmermacher</w:t>
      </w:r>
      <w:proofErr w:type="spellEnd"/>
      <w:r w:rsidRPr="00F6159D">
        <w:rPr>
          <w:rFonts w:ascii="Times New Roman" w:eastAsia="Times New Roman" w:hAnsi="Times New Roman" w:cs="Times New Roman"/>
          <w:color w:val="1B1B1B"/>
          <w:sz w:val="24"/>
          <w:szCs w:val="24"/>
          <w:highlight w:val="white"/>
          <w:lang w:val="en-US"/>
        </w:rPr>
        <w:t xml:space="preserve">, R. K., Simons, M. P., Smietański, M., </w:t>
      </w:r>
      <w:proofErr w:type="spellStart"/>
      <w:r w:rsidRPr="00F6159D">
        <w:rPr>
          <w:rFonts w:ascii="Times New Roman" w:eastAsia="Times New Roman" w:hAnsi="Times New Roman" w:cs="Times New Roman"/>
          <w:color w:val="1B1B1B"/>
          <w:sz w:val="24"/>
          <w:szCs w:val="24"/>
          <w:highlight w:val="white"/>
          <w:lang w:val="en-US"/>
        </w:rPr>
        <w:t>Sommeling</w:t>
      </w:r>
      <w:proofErr w:type="spellEnd"/>
      <w:r w:rsidRPr="00F6159D">
        <w:rPr>
          <w:rFonts w:ascii="Times New Roman" w:eastAsia="Times New Roman" w:hAnsi="Times New Roman" w:cs="Times New Roman"/>
          <w:color w:val="1B1B1B"/>
          <w:sz w:val="24"/>
          <w:szCs w:val="24"/>
          <w:highlight w:val="white"/>
          <w:lang w:val="en-US"/>
        </w:rPr>
        <w:t xml:space="preserve">, C., Tollens, T., </w:t>
      </w:r>
      <w:proofErr w:type="spellStart"/>
      <w:r w:rsidRPr="00F6159D">
        <w:rPr>
          <w:rFonts w:ascii="Times New Roman" w:eastAsia="Times New Roman" w:hAnsi="Times New Roman" w:cs="Times New Roman"/>
          <w:color w:val="1B1B1B"/>
          <w:sz w:val="24"/>
          <w:szCs w:val="24"/>
          <w:highlight w:val="white"/>
          <w:lang w:val="en-US"/>
        </w:rPr>
        <w:t>Vierendeels</w:t>
      </w:r>
      <w:proofErr w:type="spellEnd"/>
      <w:r w:rsidRPr="00F6159D">
        <w:rPr>
          <w:rFonts w:ascii="Times New Roman" w:eastAsia="Times New Roman" w:hAnsi="Times New Roman" w:cs="Times New Roman"/>
          <w:color w:val="1B1B1B"/>
          <w:sz w:val="24"/>
          <w:szCs w:val="24"/>
          <w:highlight w:val="white"/>
          <w:lang w:val="en-US"/>
        </w:rPr>
        <w:t xml:space="preserve">, T., … </w:t>
      </w:r>
      <w:r w:rsidRPr="0016659D">
        <w:rPr>
          <w:rFonts w:ascii="Times New Roman" w:eastAsia="Times New Roman" w:hAnsi="Times New Roman" w:cs="Times New Roman"/>
          <w:color w:val="1B1B1B"/>
          <w:sz w:val="24"/>
          <w:szCs w:val="24"/>
          <w:highlight w:val="white"/>
          <w:lang w:val="en-US"/>
        </w:rPr>
        <w:t xml:space="preserve">Kingsnorth, A. (2009). </w:t>
      </w:r>
      <w:r w:rsidRPr="00F6159D">
        <w:rPr>
          <w:rFonts w:ascii="Times New Roman" w:eastAsia="Times New Roman" w:hAnsi="Times New Roman" w:cs="Times New Roman"/>
          <w:color w:val="1B1B1B"/>
          <w:sz w:val="24"/>
          <w:szCs w:val="24"/>
          <w:highlight w:val="white"/>
          <w:lang w:val="en-US"/>
        </w:rPr>
        <w:t xml:space="preserve">Classification of primary and incisional abdominal wall hernias. </w:t>
      </w:r>
      <w:r w:rsidRPr="00F6159D">
        <w:rPr>
          <w:rFonts w:ascii="Times New Roman" w:eastAsia="Times New Roman" w:hAnsi="Times New Roman" w:cs="Times New Roman"/>
          <w:i/>
          <w:iCs/>
          <w:color w:val="1B1B1B"/>
          <w:sz w:val="24"/>
          <w:szCs w:val="24"/>
          <w:highlight w:val="white"/>
          <w:lang w:val="en-US"/>
        </w:rPr>
        <w:t>Hernia : the journal of hernias and abdominal wall surgery</w:t>
      </w:r>
      <w:r w:rsidRPr="00F6159D">
        <w:rPr>
          <w:rFonts w:ascii="Times New Roman" w:eastAsia="Times New Roman" w:hAnsi="Times New Roman" w:cs="Times New Roman"/>
          <w:color w:val="1B1B1B"/>
          <w:sz w:val="24"/>
          <w:szCs w:val="24"/>
          <w:highlight w:val="white"/>
          <w:lang w:val="en-US"/>
        </w:rPr>
        <w:t xml:space="preserve">, </w:t>
      </w:r>
      <w:r w:rsidRPr="00F6159D">
        <w:rPr>
          <w:rFonts w:ascii="Times New Roman" w:eastAsia="Times New Roman" w:hAnsi="Times New Roman" w:cs="Times New Roman"/>
          <w:i/>
          <w:iCs/>
          <w:color w:val="1B1B1B"/>
          <w:sz w:val="24"/>
          <w:szCs w:val="24"/>
          <w:highlight w:val="white"/>
          <w:lang w:val="en-US"/>
        </w:rPr>
        <w:t>13</w:t>
      </w:r>
      <w:r w:rsidRPr="00F6159D">
        <w:rPr>
          <w:rFonts w:ascii="Times New Roman" w:eastAsia="Times New Roman" w:hAnsi="Times New Roman" w:cs="Times New Roman"/>
          <w:color w:val="1B1B1B"/>
          <w:sz w:val="24"/>
          <w:szCs w:val="24"/>
          <w:highlight w:val="white"/>
          <w:lang w:val="en-US"/>
        </w:rPr>
        <w:t xml:space="preserve">(4), 407–414. </w:t>
      </w:r>
      <w:hyperlink r:id="rId7">
        <w:r w:rsidR="00645A4C" w:rsidRPr="0016659D">
          <w:rPr>
            <w:rFonts w:ascii="Times New Roman" w:eastAsia="Times New Roman" w:hAnsi="Times New Roman" w:cs="Times New Roman"/>
            <w:color w:val="1155CC"/>
            <w:sz w:val="24"/>
            <w:szCs w:val="24"/>
            <w:highlight w:val="white"/>
            <w:u w:val="single"/>
            <w:lang w:val="en-US"/>
          </w:rPr>
          <w:t>https://doi.org/10.1007/s10029-009-0518-x</w:t>
        </w:r>
      </w:hyperlink>
    </w:p>
    <w:p w14:paraId="00000019" w14:textId="7EF585B1" w:rsidR="00645A4C" w:rsidRPr="00E37E77" w:rsidRDefault="00602C27" w:rsidP="00E37E77">
      <w:pPr>
        <w:numPr>
          <w:ilvl w:val="0"/>
          <w:numId w:val="1"/>
        </w:numPr>
        <w:spacing w:line="240" w:lineRule="auto"/>
        <w:ind w:right="-115"/>
        <w:jc w:val="both"/>
        <w:rPr>
          <w:rFonts w:ascii="Times New Roman" w:eastAsia="Times New Roman" w:hAnsi="Times New Roman" w:cs="Times New Roman"/>
          <w:color w:val="1B1B1B"/>
          <w:sz w:val="24"/>
          <w:szCs w:val="24"/>
          <w:highlight w:val="white"/>
          <w:lang w:val="en-US"/>
        </w:rPr>
      </w:pPr>
      <w:r w:rsidRPr="00F6159D">
        <w:rPr>
          <w:rFonts w:ascii="Times New Roman" w:eastAsia="Times New Roman" w:hAnsi="Times New Roman" w:cs="Times New Roman"/>
          <w:color w:val="212121"/>
          <w:sz w:val="24"/>
          <w:szCs w:val="24"/>
          <w:highlight w:val="white"/>
          <w:lang w:val="en-US"/>
        </w:rPr>
        <w:t xml:space="preserve">Tanaka, E. Y., Yoo, J. H., Rodrigues, A. J., Jr, </w:t>
      </w:r>
      <w:proofErr w:type="spellStart"/>
      <w:r w:rsidRPr="00F6159D">
        <w:rPr>
          <w:rFonts w:ascii="Times New Roman" w:eastAsia="Times New Roman" w:hAnsi="Times New Roman" w:cs="Times New Roman"/>
          <w:color w:val="212121"/>
          <w:sz w:val="24"/>
          <w:szCs w:val="24"/>
          <w:highlight w:val="white"/>
          <w:lang w:val="en-US"/>
        </w:rPr>
        <w:t>Utiyama</w:t>
      </w:r>
      <w:proofErr w:type="spellEnd"/>
      <w:r w:rsidRPr="00F6159D">
        <w:rPr>
          <w:rFonts w:ascii="Times New Roman" w:eastAsia="Times New Roman" w:hAnsi="Times New Roman" w:cs="Times New Roman"/>
          <w:color w:val="212121"/>
          <w:sz w:val="24"/>
          <w:szCs w:val="24"/>
          <w:highlight w:val="white"/>
          <w:lang w:val="en-US"/>
        </w:rPr>
        <w:t xml:space="preserve">, E. M., Birolini, D., &amp; Rasslan, S. (2010). A computerized tomography scan method for calculating the hernia sac and abdominal cavity volume in complex large incisional hernia with loss of domain. </w:t>
      </w:r>
      <w:r w:rsidRPr="00F6159D">
        <w:rPr>
          <w:rFonts w:ascii="Times New Roman" w:eastAsia="Times New Roman" w:hAnsi="Times New Roman" w:cs="Times New Roman"/>
          <w:i/>
          <w:iCs/>
          <w:color w:val="212121"/>
          <w:sz w:val="24"/>
          <w:szCs w:val="24"/>
          <w:highlight w:val="white"/>
          <w:lang w:val="en-US"/>
        </w:rPr>
        <w:t>Hernia : the journal of hernias and abdominal wall surgery</w:t>
      </w:r>
      <w:r w:rsidRPr="00F6159D">
        <w:rPr>
          <w:rFonts w:ascii="Times New Roman" w:eastAsia="Times New Roman" w:hAnsi="Times New Roman" w:cs="Times New Roman"/>
          <w:color w:val="212121"/>
          <w:sz w:val="24"/>
          <w:szCs w:val="24"/>
          <w:highlight w:val="white"/>
          <w:lang w:val="en-US"/>
        </w:rPr>
        <w:t xml:space="preserve">, </w:t>
      </w:r>
      <w:r w:rsidRPr="00F6159D">
        <w:rPr>
          <w:rFonts w:ascii="Times New Roman" w:eastAsia="Times New Roman" w:hAnsi="Times New Roman" w:cs="Times New Roman"/>
          <w:i/>
          <w:iCs/>
          <w:color w:val="212121"/>
          <w:sz w:val="24"/>
          <w:szCs w:val="24"/>
          <w:highlight w:val="white"/>
          <w:lang w:val="en-US"/>
        </w:rPr>
        <w:t>14</w:t>
      </w:r>
      <w:r w:rsidRPr="00F6159D">
        <w:rPr>
          <w:rFonts w:ascii="Times New Roman" w:eastAsia="Times New Roman" w:hAnsi="Times New Roman" w:cs="Times New Roman"/>
          <w:color w:val="212121"/>
          <w:sz w:val="24"/>
          <w:szCs w:val="24"/>
          <w:highlight w:val="white"/>
          <w:lang w:val="en-US"/>
        </w:rPr>
        <w:t xml:space="preserve">(1), 63–69. </w:t>
      </w:r>
      <w:hyperlink r:id="rId8">
        <w:r w:rsidR="00645A4C" w:rsidRPr="00F6159D">
          <w:rPr>
            <w:rFonts w:ascii="Times New Roman" w:eastAsia="Times New Roman" w:hAnsi="Times New Roman" w:cs="Times New Roman"/>
            <w:color w:val="1155CC"/>
            <w:sz w:val="24"/>
            <w:szCs w:val="24"/>
            <w:highlight w:val="white"/>
            <w:u w:val="single"/>
            <w:lang w:val="en-US"/>
          </w:rPr>
          <w:t>https://doi.org/10.1007/s10029-009-0560-8</w:t>
        </w:r>
      </w:hyperlink>
    </w:p>
    <w:sectPr w:rsidR="00645A4C" w:rsidRPr="00E37E7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65EFC87A-FC3D-4A2A-967D-7C35F5CC1CDC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153B9672-0A01-4934-AA24-B12B98E570D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E55E0B"/>
    <w:multiLevelType w:val="multilevel"/>
    <w:tmpl w:val="41BE88E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8308309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5A4C"/>
    <w:rsid w:val="0016659D"/>
    <w:rsid w:val="00321A7E"/>
    <w:rsid w:val="003E10BA"/>
    <w:rsid w:val="00421F52"/>
    <w:rsid w:val="005C2944"/>
    <w:rsid w:val="00602C27"/>
    <w:rsid w:val="00645A4C"/>
    <w:rsid w:val="007B3EBD"/>
    <w:rsid w:val="00CB0128"/>
    <w:rsid w:val="00D9475C"/>
    <w:rsid w:val="00DC5053"/>
    <w:rsid w:val="00E37E77"/>
    <w:rsid w:val="00F61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B6D99B"/>
  <w15:docId w15:val="{F46D95F0-616D-4402-A9BD-4EC0E3719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Normal (Web)"/>
    <w:basedOn w:val="a"/>
    <w:uiPriority w:val="99"/>
    <w:semiHidden/>
    <w:unhideWhenUsed/>
    <w:rsid w:val="00DC50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007/s10029-009-0560-8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i.org/10.1007/s10029-009-0518-x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i.org/10.3389/jaws.2024.12452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783</Words>
  <Characters>4468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Олександр Горощенко</cp:lastModifiedBy>
  <cp:revision>27</cp:revision>
  <dcterms:created xsi:type="dcterms:W3CDTF">2025-11-17T20:14:00Z</dcterms:created>
  <dcterms:modified xsi:type="dcterms:W3CDTF">2025-11-18T19:51:00Z</dcterms:modified>
</cp:coreProperties>
</file>