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A45" w:rsidRDefault="00596A45" w:rsidP="00596A45">
      <w:pPr>
        <w:jc w:val="center"/>
      </w:pPr>
      <w:r>
        <w:t xml:space="preserve">John </w:t>
      </w:r>
      <w:proofErr w:type="spellStart"/>
      <w:r>
        <w:t>Shanrock</w:t>
      </w:r>
      <w:proofErr w:type="spellEnd"/>
      <w:r>
        <w:t>, Joshua Smith</w:t>
      </w:r>
    </w:p>
    <w:p w:rsidR="00596A45" w:rsidRDefault="00596A45" w:rsidP="00596A45">
      <w:pPr>
        <w:jc w:val="center"/>
      </w:pPr>
      <w:bookmarkStart w:id="0" w:name="_GoBack"/>
      <w:bookmarkEnd w:id="0"/>
      <w:r>
        <w:t>February 7, 2017</w:t>
      </w:r>
    </w:p>
    <w:p w:rsidR="00596A45" w:rsidRDefault="00596A45" w:rsidP="00596A45">
      <w:pPr>
        <w:jc w:val="center"/>
      </w:pPr>
      <w:r>
        <w:t>Laboratory 1: BJT Small Signal Parameters</w:t>
      </w:r>
    </w:p>
    <w:p w:rsidR="00596A45" w:rsidRDefault="00596A45" w:rsidP="00596A45">
      <w:pPr>
        <w:jc w:val="center"/>
      </w:pPr>
    </w:p>
    <w:p w:rsidR="00596A45" w:rsidRDefault="0059248E" w:rsidP="00596A45">
      <w:pPr>
        <w:jc w:val="center"/>
        <w:rPr>
          <w:b/>
        </w:rPr>
      </w:pPr>
      <w:r>
        <w:rPr>
          <w:b/>
        </w:rPr>
        <w:t>Objective</w:t>
      </w:r>
    </w:p>
    <w:p w:rsidR="0059248E" w:rsidRPr="0059248E" w:rsidRDefault="0059248E" w:rsidP="0059248E">
      <w:r>
        <w:tab/>
      </w:r>
      <w:r w:rsidR="001D510E">
        <w:t>This experime</w:t>
      </w:r>
      <w:r w:rsidR="005150A3">
        <w:t>nt serves as an introduction to using the laboratory equipment. Using knowledge gained in Electronics I, characteristics of a BJT were studied. Through intuitive changes to the provided circuit design, we were able to determine the four parameters which form the small signal model.</w:t>
      </w:r>
    </w:p>
    <w:p w:rsidR="0059248E" w:rsidRDefault="0059248E" w:rsidP="00596A45">
      <w:pPr>
        <w:jc w:val="center"/>
        <w:rPr>
          <w:b/>
        </w:rPr>
      </w:pPr>
      <w:r>
        <w:rPr>
          <w:b/>
        </w:rPr>
        <w:t>Design Calculations</w:t>
      </w:r>
    </w:p>
    <w:p w:rsidR="00B12034" w:rsidRDefault="005150A3" w:rsidP="005150A3">
      <w:r>
        <w:rPr>
          <w:b/>
        </w:rPr>
        <w:tab/>
      </w:r>
      <w:r w:rsidR="0052400A">
        <w:t xml:space="preserve">Before beginning any physical experiment, we analyzed the design shown in </w:t>
      </w:r>
      <w:r w:rsidR="0052400A">
        <w:rPr>
          <w:i/>
        </w:rPr>
        <w:t>Figure 1</w:t>
      </w:r>
      <w:r w:rsidR="0052400A">
        <w:t xml:space="preserve"> to determine the theoretical quiescent point position. The calculations for the theoretical determination of the quiescent point are shown below.</w:t>
      </w:r>
    </w:p>
    <w:p w:rsidR="00B12034" w:rsidRPr="00B12034" w:rsidRDefault="00B12034" w:rsidP="005150A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2.7k</m:t>
              </m:r>
            </m:num>
            <m:den>
              <m:r>
                <w:rPr>
                  <w:rFonts w:ascii="Cambria Math" w:hAnsi="Cambria Math"/>
                </w:rPr>
                <m:t>0.3k</m:t>
              </m:r>
            </m:den>
          </m:f>
          <m:r>
            <w:rPr>
              <w:rFonts w:ascii="Cambria Math" w:hAnsi="Cambria Math"/>
            </w:rPr>
            <m:t>=-9</m:t>
          </m:r>
        </m:oMath>
      </m:oMathPara>
    </w:p>
    <w:p w:rsidR="00B12034" w:rsidRPr="007B5AAD" w:rsidRDefault="00B12034" w:rsidP="005150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3.9k</m:t>
              </m:r>
            </m:num>
            <m:den>
              <m:r>
                <w:rPr>
                  <w:rFonts w:ascii="Cambria Math" w:eastAsiaTheme="minorEastAsia" w:hAnsi="Cambria Math"/>
                </w:rPr>
                <m:t>18k+3.9k</m:t>
              </m:r>
            </m:den>
          </m:f>
          <m:r>
            <w:rPr>
              <w:rFonts w:ascii="Cambria Math" w:eastAsiaTheme="minorEastAsia" w:hAnsi="Cambria Math"/>
            </w:rPr>
            <m:t>×6V</m:t>
          </m:r>
        </m:oMath>
      </m:oMathPara>
    </w:p>
    <w:p w:rsidR="007B5AAD" w:rsidRPr="007B5AAD" w:rsidRDefault="007B5AAD" w:rsidP="005150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=3.9k||18k=</m:t>
          </m:r>
          <m:f>
            <m:fPr>
              <m:ctrlPr>
                <w:rPr>
                  <w:rFonts w:ascii="Cambria Math" w:eastAsiaTheme="minorEastAsia" w:hAnsi="Cambria Math"/>
                  <w:i/>
                </w:rPr>
              </m:ctrlPr>
            </m:fPr>
            <m:num>
              <m:r>
                <w:rPr>
                  <w:rFonts w:ascii="Cambria Math" w:eastAsiaTheme="minorEastAsia" w:hAnsi="Cambria Math"/>
                </w:rPr>
                <m:t>1</m:t>
              </m:r>
            </m:num>
            <m:den>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3.9k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18k</m:t>
                  </m:r>
                </m:den>
              </m:f>
            </m:den>
          </m:f>
          <m:r>
            <w:rPr>
              <w:rFonts w:ascii="Cambria Math" w:eastAsiaTheme="minorEastAsia" w:hAnsi="Cambria Math"/>
            </w:rPr>
            <m:t>=3.21k</m:t>
          </m:r>
          <m:r>
            <m:rPr>
              <m:sty m:val="p"/>
            </m:rPr>
            <w:rPr>
              <w:rFonts w:ascii="Cambria Math" w:eastAsiaTheme="minorEastAsia" w:hAnsi="Cambria Math"/>
            </w:rPr>
            <m:t>Ω</m:t>
          </m:r>
        </m:oMath>
      </m:oMathPara>
    </w:p>
    <w:p w:rsidR="007B5AAD" w:rsidRPr="0054362E" w:rsidRDefault="007B5AAD" w:rsidP="005150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num>
            <m:den>
              <m:r>
                <w:rPr>
                  <w:rFonts w:ascii="Cambria Math" w:eastAsiaTheme="minorEastAsia" w:hAnsi="Cambria Math"/>
                </w:rPr>
                <m:t>β</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m:oMathPara>
    </w:p>
    <w:p w:rsidR="0054362E" w:rsidRPr="0054362E" w:rsidRDefault="0054362E" w:rsidP="005150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E</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oMath>
      </m:oMathPara>
    </w:p>
    <w:p w:rsidR="0054362E" w:rsidRPr="00980DB6" w:rsidRDefault="0054362E" w:rsidP="005150A3">
      <w:pPr>
        <w:rPr>
          <w:rFonts w:eastAsiaTheme="minorEastAsia"/>
        </w:rPr>
      </w:pPr>
      <m:oMathPara>
        <m:oMath>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CQ</m:t>
              </m:r>
            </m:sub>
          </m:sSub>
          <m:r>
            <w:rPr>
              <w:rFonts w:ascii="Cambria Math" w:eastAsiaTheme="minorEastAsia" w:hAnsi="Cambria Math"/>
            </w:rPr>
            <m:t xml:space="preserve">=1.11mA,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CEQ</m:t>
              </m:r>
            </m:sub>
          </m:sSub>
          <m:r>
            <w:rPr>
              <w:rFonts w:ascii="Cambria Math" w:eastAsiaTheme="minorEastAsia" w:hAnsi="Cambria Math"/>
            </w:rPr>
            <m:t>=2.67V</m:t>
          </m:r>
        </m:oMath>
      </m:oMathPara>
    </w:p>
    <w:p w:rsidR="00980DB6" w:rsidRDefault="00980DB6" w:rsidP="005150A3">
      <w:pPr>
        <w:rPr>
          <w:rFonts w:eastAsiaTheme="minorEastAsia"/>
        </w:rPr>
      </w:pPr>
      <w:r>
        <w:rPr>
          <w:rFonts w:eastAsiaTheme="minorEastAsia"/>
        </w:rPr>
        <w:t>The calculations for the theoretical determination of the small signal model parameters are shown below.</w:t>
      </w:r>
    </w:p>
    <w:p w:rsidR="00980DB6" w:rsidRPr="00EC71D8" w:rsidRDefault="00980DB6" w:rsidP="005150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-1</m:t>
              </m:r>
            </m:den>
          </m:f>
          <m:r>
            <w:rPr>
              <w:rFonts w:ascii="Cambria Math" w:eastAsiaTheme="minorEastAsia" w:hAnsi="Cambria Math"/>
            </w:rPr>
            <m:t>=779.45</m:t>
          </m:r>
        </m:oMath>
      </m:oMathPara>
    </w:p>
    <w:p w:rsidR="00EC71D8" w:rsidRPr="00EC71D8" w:rsidRDefault="00EC71D8" w:rsidP="005150A3">
      <w:pPr>
        <w:rPr>
          <w:rFonts w:eastAsiaTheme="minorEastAsia"/>
          <w:b/>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fe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num>
            <m:den>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ie</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t>
                  </m:r>
                </m:sub>
              </m:sSub>
            </m:den>
          </m:f>
          <m:r>
            <w:rPr>
              <w:rFonts w:ascii="Cambria Math" w:eastAsiaTheme="minorEastAsia" w:hAnsi="Cambria Math"/>
            </w:rPr>
            <m:t>=</m:t>
          </m:r>
          <m:r>
            <w:rPr>
              <w:rFonts w:ascii="Cambria Math" w:eastAsiaTheme="minorEastAsia" w:hAnsi="Cambria Math"/>
            </w:rPr>
            <m:t>0.989</m:t>
          </m:r>
        </m:oMath>
      </m:oMathPara>
    </w:p>
    <w:p w:rsidR="00B12034" w:rsidRPr="00B16364" w:rsidRDefault="00EC71D8" w:rsidP="005150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re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den>
          </m:f>
          <m:r>
            <w:rPr>
              <w:rFonts w:ascii="Cambria Math" w:eastAsiaTheme="minorEastAsia" w:hAnsi="Cambria Math"/>
            </w:rPr>
            <m:t>=</m:t>
          </m:r>
          <m:r>
            <w:rPr>
              <w:rFonts w:ascii="Cambria Math" w:eastAsiaTheme="minorEastAsia" w:hAnsi="Cambria Math"/>
            </w:rPr>
            <m:t>0.262</m:t>
          </m:r>
        </m:oMath>
      </m:oMathPara>
    </w:p>
    <w:p w:rsidR="00B16364" w:rsidRPr="00B12034" w:rsidRDefault="00B16364" w:rsidP="005150A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be</m:t>
                  </m:r>
                </m:sub>
              </m:sSub>
            </m:den>
          </m:f>
          <m:r>
            <w:rPr>
              <w:rFonts w:ascii="Cambria Math" w:eastAsiaTheme="minorEastAsia" w:hAnsi="Cambria Math"/>
            </w:rPr>
            <m:t>=</m:t>
          </m:r>
          <m:r>
            <w:rPr>
              <w:rFonts w:ascii="Cambria Math" w:eastAsiaTheme="minorEastAsia" w:hAnsi="Cambria Math"/>
            </w:rPr>
            <m:t>0.00158</m:t>
          </m:r>
        </m:oMath>
      </m:oMathPara>
    </w:p>
    <w:p w:rsidR="00B12034" w:rsidRPr="00B12034" w:rsidRDefault="00B12034" w:rsidP="005150A3">
      <w:pPr>
        <w:rPr>
          <w:rFonts w:eastAsiaTheme="minorEastAsia"/>
        </w:rPr>
      </w:pPr>
    </w:p>
    <w:p w:rsidR="0052400A" w:rsidRPr="0052400A" w:rsidRDefault="0052400A" w:rsidP="005150A3"/>
    <w:p w:rsidR="0059248E" w:rsidRDefault="0059248E" w:rsidP="00596A45">
      <w:pPr>
        <w:jc w:val="center"/>
        <w:rPr>
          <w:b/>
        </w:rPr>
      </w:pPr>
      <w:r>
        <w:rPr>
          <w:b/>
        </w:rPr>
        <w:t>Conclusions</w:t>
      </w:r>
    </w:p>
    <w:p w:rsidR="00722EE7" w:rsidRDefault="00722EE7" w:rsidP="00722EE7">
      <w:r>
        <w:tab/>
        <w:t xml:space="preserve">Following the calculations, </w:t>
      </w:r>
      <w:r>
        <w:rPr>
          <w:i/>
        </w:rPr>
        <w:t>Figure 2</w:t>
      </w:r>
      <w:r>
        <w:t xml:space="preserve"> was constructed and the desired values were measured. Then </w:t>
      </w:r>
      <w:r>
        <w:rPr>
          <w:i/>
        </w:rPr>
        <w:t>Figure 3</w:t>
      </w:r>
      <w:r>
        <w:t xml:space="preserve"> was constructed and again the desired values were measured. These measurements, and the measurements of I</w:t>
      </w:r>
      <w:r>
        <w:rPr>
          <w:vertAlign w:val="subscript"/>
        </w:rPr>
        <w:t>CQ</w:t>
      </w:r>
      <w:r>
        <w:t xml:space="preserve"> and V</w:t>
      </w:r>
      <w:r>
        <w:rPr>
          <w:vertAlign w:val="subscript"/>
        </w:rPr>
        <w:t>CEQ</w:t>
      </w:r>
      <w:r>
        <w:t xml:space="preserve">, are recorded in </w:t>
      </w:r>
      <w:r>
        <w:rPr>
          <w:i/>
        </w:rPr>
        <w:t>Table 1</w:t>
      </w:r>
      <w:r>
        <w:t xml:space="preserve">. Utilizing the measurements in </w:t>
      </w:r>
      <w:r>
        <w:rPr>
          <w:i/>
        </w:rPr>
        <w:t>Table 1</w:t>
      </w:r>
      <w:r>
        <w:t xml:space="preserve">, the theoretical values of the small signal parameters were calculated and tabulated in </w:t>
      </w:r>
      <w:r>
        <w:rPr>
          <w:i/>
        </w:rPr>
        <w:t>Table 2</w:t>
      </w:r>
      <w:r w:rsidR="006A7204">
        <w:t xml:space="preserve"> using the calculation methods described by the above equations</w:t>
      </w:r>
      <w:r>
        <w:t>.</w:t>
      </w:r>
    </w:p>
    <w:p w:rsidR="00722EE7" w:rsidRDefault="00722EE7" w:rsidP="00722EE7">
      <w:r>
        <w:tab/>
        <w:t>One of the things we noticed in performing this experiment is that the BJT chips in the lab are highly unreliable. The bipolar transistor array had 3 transistors that we could use.</w:t>
      </w:r>
      <w:r w:rsidR="00CB7CAC">
        <w:t xml:space="preserve"> The first chip under inspection produced values of V</w:t>
      </w:r>
      <w:r w:rsidR="00CB7CAC">
        <w:rPr>
          <w:vertAlign w:val="subscript"/>
        </w:rPr>
        <w:t>CE</w:t>
      </w:r>
      <w:r w:rsidR="00CB7CAC">
        <w:t xml:space="preserve"> that were upwards of 2V off from the </w:t>
      </w:r>
      <w:r w:rsidR="00CB7CAC">
        <w:lastRenderedPageBreak/>
        <w:t>theoretical values. After finding a new chip, we were able to find a BJT which performed better than the previous 3, albeit noticeably different than it should have behaved theoretically.</w:t>
      </w:r>
      <w:r w:rsidR="006A7204">
        <w:t xml:space="preserve"> Since these BJTs quiescent point was much different than theory would suggest, the small signal system parameters that were measured do not match the calculated values. Recalculation of the small system parameters utilizing the measured quiescent values and actual resistor values would lead to a more accurate representation of the theory.</w:t>
      </w:r>
    </w:p>
    <w:p w:rsidR="00A90837" w:rsidRDefault="00A90837" w:rsidP="00722EE7"/>
    <w:p w:rsidR="00A90837" w:rsidRDefault="00A90837" w:rsidP="00A90837">
      <w:pPr>
        <w:jc w:val="center"/>
        <w:rPr>
          <w:b/>
        </w:rPr>
      </w:pPr>
      <w:r>
        <w:rPr>
          <w:b/>
        </w:rPr>
        <w:t>Figure 1</w:t>
      </w:r>
      <w:r w:rsidR="003F635E">
        <w:rPr>
          <w:b/>
        </w:rPr>
        <w:t xml:space="preserve"> – Single Stage CE BJT Amplifier</w:t>
      </w:r>
    </w:p>
    <w:p w:rsidR="00A90837" w:rsidRDefault="003F635E" w:rsidP="00A90837">
      <w:pPr>
        <w:jc w:val="center"/>
        <w:rPr>
          <w:b/>
        </w:rPr>
      </w:pPr>
      <w:r>
        <w:rPr>
          <w:noProof/>
        </w:rPr>
        <w:drawing>
          <wp:inline distT="0" distB="0" distL="0" distR="0" wp14:anchorId="33B1BA40" wp14:editId="56B29F5E">
            <wp:extent cx="34290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29000" cy="3200400"/>
                    </a:xfrm>
                    <a:prstGeom prst="rect">
                      <a:avLst/>
                    </a:prstGeom>
                  </pic:spPr>
                </pic:pic>
              </a:graphicData>
            </a:graphic>
          </wp:inline>
        </w:drawing>
      </w:r>
    </w:p>
    <w:p w:rsidR="003F635E" w:rsidRDefault="003F635E" w:rsidP="00A90837">
      <w:pPr>
        <w:jc w:val="center"/>
        <w:rPr>
          <w:b/>
        </w:rPr>
      </w:pPr>
    </w:p>
    <w:p w:rsidR="00A90837" w:rsidRDefault="00A90837" w:rsidP="00A90837">
      <w:pPr>
        <w:jc w:val="center"/>
        <w:rPr>
          <w:b/>
        </w:rPr>
      </w:pPr>
      <w:r>
        <w:rPr>
          <w:b/>
        </w:rPr>
        <w:t>Figure 2</w:t>
      </w:r>
      <w:r w:rsidR="003F635E">
        <w:rPr>
          <w:b/>
        </w:rPr>
        <w:t xml:space="preserve"> – CE Single Stage Amplifier Configured for Determination of </w:t>
      </w:r>
      <w:proofErr w:type="spellStart"/>
      <w:r w:rsidR="003F635E">
        <w:rPr>
          <w:b/>
        </w:rPr>
        <w:t>h</w:t>
      </w:r>
      <w:r w:rsidR="003F635E">
        <w:rPr>
          <w:b/>
        </w:rPr>
        <w:softHyphen/>
      </w:r>
      <w:r w:rsidR="003F635E">
        <w:rPr>
          <w:b/>
          <w:vertAlign w:val="subscript"/>
        </w:rPr>
        <w:t>ie</w:t>
      </w:r>
      <w:proofErr w:type="spellEnd"/>
      <w:r w:rsidR="003F635E">
        <w:rPr>
          <w:b/>
        </w:rPr>
        <w:softHyphen/>
        <w:t xml:space="preserve"> and </w:t>
      </w:r>
      <w:proofErr w:type="spellStart"/>
      <w:r w:rsidR="003F635E">
        <w:rPr>
          <w:b/>
        </w:rPr>
        <w:t>h</w:t>
      </w:r>
      <w:r w:rsidR="003F635E">
        <w:rPr>
          <w:b/>
          <w:vertAlign w:val="subscript"/>
        </w:rPr>
        <w:t>fe</w:t>
      </w:r>
      <w:proofErr w:type="spellEnd"/>
    </w:p>
    <w:p w:rsidR="003F635E" w:rsidRDefault="003F635E" w:rsidP="00A90837">
      <w:pPr>
        <w:jc w:val="center"/>
        <w:rPr>
          <w:b/>
        </w:rPr>
      </w:pPr>
      <w:r>
        <w:rPr>
          <w:noProof/>
        </w:rPr>
        <w:drawing>
          <wp:inline distT="0" distB="0" distL="0" distR="0" wp14:anchorId="3E0D4497" wp14:editId="04D1E0B4">
            <wp:extent cx="3248025" cy="2600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48025" cy="2600325"/>
                    </a:xfrm>
                    <a:prstGeom prst="rect">
                      <a:avLst/>
                    </a:prstGeom>
                  </pic:spPr>
                </pic:pic>
              </a:graphicData>
            </a:graphic>
          </wp:inline>
        </w:drawing>
      </w:r>
    </w:p>
    <w:p w:rsidR="003F635E" w:rsidRDefault="003F635E" w:rsidP="00A90837">
      <w:pPr>
        <w:jc w:val="center"/>
        <w:rPr>
          <w:b/>
        </w:rPr>
      </w:pPr>
    </w:p>
    <w:p w:rsidR="003F635E" w:rsidRDefault="003F635E" w:rsidP="00A90837">
      <w:pPr>
        <w:jc w:val="center"/>
        <w:rPr>
          <w:b/>
        </w:rPr>
      </w:pPr>
    </w:p>
    <w:p w:rsidR="00A90837" w:rsidRDefault="00A90837" w:rsidP="009D09A2">
      <w:pPr>
        <w:rPr>
          <w:b/>
        </w:rPr>
      </w:pPr>
    </w:p>
    <w:p w:rsidR="00A90837" w:rsidRPr="003F635E" w:rsidRDefault="00A90837" w:rsidP="00A90837">
      <w:pPr>
        <w:jc w:val="center"/>
        <w:rPr>
          <w:b/>
        </w:rPr>
      </w:pPr>
      <w:r>
        <w:rPr>
          <w:b/>
        </w:rPr>
        <w:lastRenderedPageBreak/>
        <w:t>Figure 3</w:t>
      </w:r>
      <w:r w:rsidR="003F635E">
        <w:rPr>
          <w:b/>
        </w:rPr>
        <w:t xml:space="preserve"> – Modification for the Measurement of </w:t>
      </w:r>
      <w:proofErr w:type="spellStart"/>
      <w:r w:rsidR="003F635E">
        <w:rPr>
          <w:b/>
        </w:rPr>
        <w:t>h</w:t>
      </w:r>
      <w:r w:rsidR="003F635E">
        <w:rPr>
          <w:b/>
          <w:vertAlign w:val="subscript"/>
        </w:rPr>
        <w:t>re</w:t>
      </w:r>
      <w:proofErr w:type="spellEnd"/>
      <w:r w:rsidR="003F635E">
        <w:rPr>
          <w:b/>
        </w:rPr>
        <w:t xml:space="preserve"> and h</w:t>
      </w:r>
      <w:r w:rsidR="003F635E">
        <w:rPr>
          <w:b/>
          <w:vertAlign w:val="subscript"/>
        </w:rPr>
        <w:t>oe</w:t>
      </w:r>
    </w:p>
    <w:p w:rsidR="00A90837" w:rsidRDefault="003F635E" w:rsidP="00A90837">
      <w:pPr>
        <w:jc w:val="center"/>
        <w:rPr>
          <w:b/>
        </w:rPr>
      </w:pPr>
      <w:r>
        <w:rPr>
          <w:noProof/>
        </w:rPr>
        <w:drawing>
          <wp:inline distT="0" distB="0" distL="0" distR="0" wp14:anchorId="3AD58490" wp14:editId="3CFED969">
            <wp:extent cx="4381500" cy="3362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1500" cy="3362325"/>
                    </a:xfrm>
                    <a:prstGeom prst="rect">
                      <a:avLst/>
                    </a:prstGeom>
                  </pic:spPr>
                </pic:pic>
              </a:graphicData>
            </a:graphic>
          </wp:inline>
        </w:drawing>
      </w:r>
    </w:p>
    <w:p w:rsidR="003F635E" w:rsidRDefault="003F635E" w:rsidP="00A90837">
      <w:pPr>
        <w:jc w:val="center"/>
        <w:rPr>
          <w:b/>
        </w:rPr>
      </w:pPr>
    </w:p>
    <w:p w:rsidR="00A90837" w:rsidRDefault="00A90837" w:rsidP="00A90837">
      <w:pPr>
        <w:jc w:val="center"/>
        <w:rPr>
          <w:b/>
        </w:rPr>
      </w:pPr>
      <w:r>
        <w:rPr>
          <w:b/>
        </w:rPr>
        <w:t>Table 1</w:t>
      </w:r>
    </w:p>
    <w:tbl>
      <w:tblPr>
        <w:tblStyle w:val="TableGrid"/>
        <w:tblW w:w="0" w:type="auto"/>
        <w:tblLook w:val="04A0" w:firstRow="1" w:lastRow="0" w:firstColumn="1" w:lastColumn="0" w:noHBand="0" w:noVBand="1"/>
      </w:tblPr>
      <w:tblGrid>
        <w:gridCol w:w="3116"/>
        <w:gridCol w:w="3117"/>
        <w:gridCol w:w="3117"/>
      </w:tblGrid>
      <w:tr w:rsidR="003F635E" w:rsidTr="003F635E">
        <w:tc>
          <w:tcPr>
            <w:tcW w:w="3116" w:type="dxa"/>
          </w:tcPr>
          <w:p w:rsidR="003F635E" w:rsidRPr="003F635E" w:rsidRDefault="003F635E" w:rsidP="00A90837">
            <w:pPr>
              <w:jc w:val="center"/>
              <w:rPr>
                <w:b/>
                <w:vertAlign w:val="subscript"/>
              </w:rPr>
            </w:pPr>
            <w:r>
              <w:rPr>
                <w:b/>
              </w:rPr>
              <w:t>I</w:t>
            </w:r>
            <w:r>
              <w:rPr>
                <w:b/>
                <w:vertAlign w:val="subscript"/>
              </w:rPr>
              <w:t>CQ</w:t>
            </w:r>
          </w:p>
        </w:tc>
        <w:tc>
          <w:tcPr>
            <w:tcW w:w="3117" w:type="dxa"/>
          </w:tcPr>
          <w:p w:rsidR="003F635E" w:rsidRPr="0021561F" w:rsidRDefault="0021561F" w:rsidP="00A90837">
            <w:pPr>
              <w:jc w:val="center"/>
            </w:pPr>
            <w:r w:rsidRPr="0021561F">
              <w:t>0.00098A</w:t>
            </w:r>
          </w:p>
        </w:tc>
        <w:tc>
          <w:tcPr>
            <w:tcW w:w="3117" w:type="dxa"/>
          </w:tcPr>
          <w:p w:rsidR="003F635E" w:rsidRDefault="003F635E" w:rsidP="00A90837">
            <w:pPr>
              <w:jc w:val="center"/>
              <w:rPr>
                <w:b/>
              </w:rPr>
            </w:pPr>
          </w:p>
        </w:tc>
      </w:tr>
      <w:tr w:rsidR="003F635E" w:rsidTr="003F635E">
        <w:tc>
          <w:tcPr>
            <w:tcW w:w="3116" w:type="dxa"/>
          </w:tcPr>
          <w:p w:rsidR="003F635E" w:rsidRPr="003F635E" w:rsidRDefault="003F635E" w:rsidP="00A90837">
            <w:pPr>
              <w:jc w:val="center"/>
              <w:rPr>
                <w:b/>
                <w:vertAlign w:val="subscript"/>
              </w:rPr>
            </w:pPr>
            <w:r>
              <w:rPr>
                <w:b/>
              </w:rPr>
              <w:t>V</w:t>
            </w:r>
            <w:r>
              <w:rPr>
                <w:b/>
                <w:vertAlign w:val="subscript"/>
              </w:rPr>
              <w:t>CEQ</w:t>
            </w:r>
          </w:p>
        </w:tc>
        <w:tc>
          <w:tcPr>
            <w:tcW w:w="3117" w:type="dxa"/>
          </w:tcPr>
          <w:p w:rsidR="003F635E" w:rsidRPr="0021561F" w:rsidRDefault="0021561F" w:rsidP="00A90837">
            <w:pPr>
              <w:jc w:val="center"/>
            </w:pPr>
            <w:r w:rsidRPr="0021561F">
              <w:t>2.9722 V</w:t>
            </w:r>
          </w:p>
        </w:tc>
        <w:tc>
          <w:tcPr>
            <w:tcW w:w="3117" w:type="dxa"/>
          </w:tcPr>
          <w:p w:rsidR="003F635E" w:rsidRDefault="003F635E" w:rsidP="00A90837">
            <w:pPr>
              <w:jc w:val="center"/>
              <w:rPr>
                <w:b/>
              </w:rPr>
            </w:pPr>
          </w:p>
        </w:tc>
      </w:tr>
      <w:tr w:rsidR="003F635E" w:rsidTr="003F635E">
        <w:tc>
          <w:tcPr>
            <w:tcW w:w="3116" w:type="dxa"/>
          </w:tcPr>
          <w:p w:rsidR="003F635E" w:rsidRDefault="003F635E" w:rsidP="00A90837">
            <w:pPr>
              <w:jc w:val="center"/>
              <w:rPr>
                <w:b/>
              </w:rPr>
            </w:pPr>
          </w:p>
        </w:tc>
        <w:tc>
          <w:tcPr>
            <w:tcW w:w="3117" w:type="dxa"/>
          </w:tcPr>
          <w:p w:rsidR="003F635E" w:rsidRDefault="003F635E" w:rsidP="00A90837">
            <w:pPr>
              <w:jc w:val="center"/>
              <w:rPr>
                <w:b/>
              </w:rPr>
            </w:pPr>
            <w:r>
              <w:rPr>
                <w:b/>
              </w:rPr>
              <w:t>Figure 2</w:t>
            </w:r>
          </w:p>
        </w:tc>
        <w:tc>
          <w:tcPr>
            <w:tcW w:w="3117" w:type="dxa"/>
          </w:tcPr>
          <w:p w:rsidR="003F635E" w:rsidRDefault="003F635E" w:rsidP="00A90837">
            <w:pPr>
              <w:jc w:val="center"/>
              <w:rPr>
                <w:b/>
              </w:rPr>
            </w:pPr>
            <w:r>
              <w:rPr>
                <w:b/>
              </w:rPr>
              <w:t>Figure 3</w:t>
            </w:r>
          </w:p>
        </w:tc>
      </w:tr>
      <w:tr w:rsidR="003F635E" w:rsidTr="003F635E">
        <w:tc>
          <w:tcPr>
            <w:tcW w:w="3116" w:type="dxa"/>
          </w:tcPr>
          <w:p w:rsidR="003F635E" w:rsidRPr="003F635E" w:rsidRDefault="003F635E" w:rsidP="00A90837">
            <w:pPr>
              <w:jc w:val="center"/>
              <w:rPr>
                <w:b/>
                <w:vertAlign w:val="subscript"/>
              </w:rPr>
            </w:pPr>
            <w:r>
              <w:rPr>
                <w:b/>
              </w:rPr>
              <w:t>I</w:t>
            </w:r>
            <w:r>
              <w:rPr>
                <w:b/>
                <w:vertAlign w:val="subscript"/>
              </w:rPr>
              <w:t>C</w:t>
            </w:r>
          </w:p>
        </w:tc>
        <w:tc>
          <w:tcPr>
            <w:tcW w:w="3117" w:type="dxa"/>
          </w:tcPr>
          <w:p w:rsidR="003F635E" w:rsidRPr="0021561F" w:rsidRDefault="0021561F" w:rsidP="00A90837">
            <w:pPr>
              <w:jc w:val="center"/>
            </w:pPr>
            <w:r w:rsidRPr="0021561F">
              <w:t>0.00089A</w:t>
            </w:r>
          </w:p>
        </w:tc>
        <w:tc>
          <w:tcPr>
            <w:tcW w:w="3117" w:type="dxa"/>
          </w:tcPr>
          <w:p w:rsidR="003F635E" w:rsidRPr="0021561F" w:rsidRDefault="0021561F" w:rsidP="00A90837">
            <w:pPr>
              <w:jc w:val="center"/>
            </w:pPr>
            <w:r w:rsidRPr="0021561F">
              <w:t>0.00087A</w:t>
            </w:r>
          </w:p>
        </w:tc>
      </w:tr>
      <w:tr w:rsidR="003F635E" w:rsidTr="003F635E">
        <w:tc>
          <w:tcPr>
            <w:tcW w:w="3116" w:type="dxa"/>
          </w:tcPr>
          <w:p w:rsidR="003F635E" w:rsidRPr="003F635E" w:rsidRDefault="003F635E" w:rsidP="00A90837">
            <w:pPr>
              <w:jc w:val="center"/>
              <w:rPr>
                <w:b/>
                <w:vertAlign w:val="subscript"/>
              </w:rPr>
            </w:pPr>
            <w:r>
              <w:rPr>
                <w:b/>
              </w:rPr>
              <w:t>V</w:t>
            </w:r>
            <w:r>
              <w:rPr>
                <w:b/>
                <w:vertAlign w:val="subscript"/>
              </w:rPr>
              <w:t>BE</w:t>
            </w:r>
          </w:p>
        </w:tc>
        <w:tc>
          <w:tcPr>
            <w:tcW w:w="3117" w:type="dxa"/>
          </w:tcPr>
          <w:p w:rsidR="003F635E" w:rsidRPr="0021561F" w:rsidRDefault="0021561F" w:rsidP="00A90837">
            <w:pPr>
              <w:jc w:val="center"/>
            </w:pPr>
            <w:r w:rsidRPr="0021561F">
              <w:t>0.72774V</w:t>
            </w:r>
          </w:p>
        </w:tc>
        <w:tc>
          <w:tcPr>
            <w:tcW w:w="3117" w:type="dxa"/>
          </w:tcPr>
          <w:p w:rsidR="003F635E" w:rsidRPr="0021561F" w:rsidRDefault="0021561F" w:rsidP="00A90837">
            <w:pPr>
              <w:jc w:val="center"/>
            </w:pPr>
            <w:r w:rsidRPr="0021561F">
              <w:t>0.43122</w:t>
            </w:r>
          </w:p>
        </w:tc>
      </w:tr>
      <w:tr w:rsidR="003F635E" w:rsidTr="003F635E">
        <w:tc>
          <w:tcPr>
            <w:tcW w:w="3116" w:type="dxa"/>
          </w:tcPr>
          <w:p w:rsidR="003F635E" w:rsidRPr="003F635E" w:rsidRDefault="003F635E" w:rsidP="00A90837">
            <w:pPr>
              <w:jc w:val="center"/>
              <w:rPr>
                <w:b/>
                <w:vertAlign w:val="subscript"/>
              </w:rPr>
            </w:pPr>
            <w:r>
              <w:rPr>
                <w:b/>
              </w:rPr>
              <w:t>V</w:t>
            </w:r>
            <w:r>
              <w:rPr>
                <w:b/>
                <w:vertAlign w:val="subscript"/>
              </w:rPr>
              <w:t>CE</w:t>
            </w:r>
          </w:p>
        </w:tc>
        <w:tc>
          <w:tcPr>
            <w:tcW w:w="3117" w:type="dxa"/>
          </w:tcPr>
          <w:p w:rsidR="003F635E" w:rsidRPr="0021561F" w:rsidRDefault="0021561F" w:rsidP="00A90837">
            <w:pPr>
              <w:jc w:val="center"/>
            </w:pPr>
            <w:r w:rsidRPr="0021561F">
              <w:t>3.1637V</w:t>
            </w:r>
          </w:p>
        </w:tc>
        <w:tc>
          <w:tcPr>
            <w:tcW w:w="3117" w:type="dxa"/>
          </w:tcPr>
          <w:p w:rsidR="003F635E" w:rsidRPr="0021561F" w:rsidRDefault="0021561F" w:rsidP="00A90837">
            <w:pPr>
              <w:jc w:val="center"/>
            </w:pPr>
            <w:r w:rsidRPr="0021561F">
              <w:t>3.1530V</w:t>
            </w:r>
          </w:p>
        </w:tc>
      </w:tr>
    </w:tbl>
    <w:p w:rsidR="00A90837" w:rsidRDefault="00A90837" w:rsidP="00A90837">
      <w:pPr>
        <w:jc w:val="center"/>
        <w:rPr>
          <w:b/>
        </w:rPr>
      </w:pPr>
    </w:p>
    <w:p w:rsidR="003F635E" w:rsidRDefault="003F635E" w:rsidP="00A90837">
      <w:pPr>
        <w:jc w:val="center"/>
        <w:rPr>
          <w:b/>
        </w:rPr>
      </w:pPr>
    </w:p>
    <w:p w:rsidR="00A90837" w:rsidRDefault="00A90837" w:rsidP="00A90837">
      <w:pPr>
        <w:jc w:val="center"/>
        <w:rPr>
          <w:b/>
        </w:rPr>
      </w:pPr>
      <w:r>
        <w:rPr>
          <w:b/>
        </w:rPr>
        <w:t>Table 2</w:t>
      </w:r>
    </w:p>
    <w:tbl>
      <w:tblPr>
        <w:tblStyle w:val="TableGrid"/>
        <w:tblW w:w="0" w:type="auto"/>
        <w:tblLook w:val="04A0" w:firstRow="1" w:lastRow="0" w:firstColumn="1" w:lastColumn="0" w:noHBand="0" w:noVBand="1"/>
      </w:tblPr>
      <w:tblGrid>
        <w:gridCol w:w="4675"/>
        <w:gridCol w:w="4675"/>
      </w:tblGrid>
      <w:tr w:rsidR="0021561F" w:rsidTr="0021561F">
        <w:tc>
          <w:tcPr>
            <w:tcW w:w="4675" w:type="dxa"/>
          </w:tcPr>
          <w:p w:rsidR="0021561F" w:rsidRPr="0021561F" w:rsidRDefault="0021561F" w:rsidP="00A90837">
            <w:pPr>
              <w:jc w:val="center"/>
              <w:rPr>
                <w:b/>
                <w:vertAlign w:val="subscript"/>
              </w:rPr>
            </w:pPr>
            <w:proofErr w:type="spellStart"/>
            <w:r>
              <w:rPr>
                <w:b/>
              </w:rPr>
              <w:t>h</w:t>
            </w:r>
            <w:r>
              <w:rPr>
                <w:b/>
                <w:vertAlign w:val="subscript"/>
              </w:rPr>
              <w:t>ie</w:t>
            </w:r>
            <w:proofErr w:type="spellEnd"/>
          </w:p>
        </w:tc>
        <w:tc>
          <w:tcPr>
            <w:tcW w:w="4675" w:type="dxa"/>
          </w:tcPr>
          <w:p w:rsidR="0021561F" w:rsidRDefault="00250F2F" w:rsidP="00A90837">
            <w:pPr>
              <w:jc w:val="center"/>
            </w:pPr>
            <w:r>
              <w:t>1028</w:t>
            </w:r>
          </w:p>
        </w:tc>
      </w:tr>
      <w:tr w:rsidR="0021561F" w:rsidTr="0021561F">
        <w:tc>
          <w:tcPr>
            <w:tcW w:w="4675" w:type="dxa"/>
          </w:tcPr>
          <w:p w:rsidR="0021561F" w:rsidRPr="0021561F" w:rsidRDefault="0021561F" w:rsidP="00A90837">
            <w:pPr>
              <w:jc w:val="center"/>
              <w:rPr>
                <w:b/>
                <w:vertAlign w:val="subscript"/>
              </w:rPr>
            </w:pPr>
            <w:proofErr w:type="spellStart"/>
            <w:r>
              <w:rPr>
                <w:b/>
              </w:rPr>
              <w:t>h</w:t>
            </w:r>
            <w:r>
              <w:rPr>
                <w:b/>
                <w:vertAlign w:val="subscript"/>
              </w:rPr>
              <w:t>fe</w:t>
            </w:r>
            <w:proofErr w:type="spellEnd"/>
          </w:p>
        </w:tc>
        <w:tc>
          <w:tcPr>
            <w:tcW w:w="4675" w:type="dxa"/>
          </w:tcPr>
          <w:p w:rsidR="0021561F" w:rsidRDefault="00250F2F" w:rsidP="00A90837">
            <w:pPr>
              <w:jc w:val="center"/>
            </w:pPr>
            <w:r>
              <w:t>1.258</w:t>
            </w:r>
          </w:p>
        </w:tc>
      </w:tr>
      <w:tr w:rsidR="0021561F" w:rsidTr="0021561F">
        <w:tc>
          <w:tcPr>
            <w:tcW w:w="4675" w:type="dxa"/>
          </w:tcPr>
          <w:p w:rsidR="0021561F" w:rsidRPr="0021561F" w:rsidRDefault="0021561F" w:rsidP="00A90837">
            <w:pPr>
              <w:jc w:val="center"/>
              <w:rPr>
                <w:b/>
                <w:vertAlign w:val="subscript"/>
              </w:rPr>
            </w:pPr>
            <w:proofErr w:type="spellStart"/>
            <w:r>
              <w:rPr>
                <w:b/>
              </w:rPr>
              <w:t>h</w:t>
            </w:r>
            <w:r>
              <w:rPr>
                <w:b/>
                <w:vertAlign w:val="subscript"/>
              </w:rPr>
              <w:t>re</w:t>
            </w:r>
            <w:proofErr w:type="spellEnd"/>
          </w:p>
        </w:tc>
        <w:tc>
          <w:tcPr>
            <w:tcW w:w="4675" w:type="dxa"/>
          </w:tcPr>
          <w:p w:rsidR="0021561F" w:rsidRDefault="00250F2F" w:rsidP="00A90837">
            <w:pPr>
              <w:jc w:val="center"/>
            </w:pPr>
            <w:r>
              <w:t>0.137</w:t>
            </w:r>
          </w:p>
        </w:tc>
      </w:tr>
      <w:tr w:rsidR="0021561F" w:rsidTr="0021561F">
        <w:tc>
          <w:tcPr>
            <w:tcW w:w="4675" w:type="dxa"/>
          </w:tcPr>
          <w:p w:rsidR="0021561F" w:rsidRPr="0021561F" w:rsidRDefault="0021561F" w:rsidP="00A90837">
            <w:pPr>
              <w:jc w:val="center"/>
              <w:rPr>
                <w:b/>
                <w:vertAlign w:val="subscript"/>
              </w:rPr>
            </w:pPr>
            <w:r>
              <w:rPr>
                <w:b/>
              </w:rPr>
              <w:t>h</w:t>
            </w:r>
            <w:r>
              <w:rPr>
                <w:b/>
                <w:vertAlign w:val="subscript"/>
              </w:rPr>
              <w:t>oe</w:t>
            </w:r>
          </w:p>
        </w:tc>
        <w:tc>
          <w:tcPr>
            <w:tcW w:w="4675" w:type="dxa"/>
          </w:tcPr>
          <w:p w:rsidR="0021561F" w:rsidRDefault="00250F2F" w:rsidP="00A90837">
            <w:pPr>
              <w:jc w:val="center"/>
            </w:pPr>
            <w:r>
              <w:t>0.00202</w:t>
            </w:r>
          </w:p>
        </w:tc>
      </w:tr>
    </w:tbl>
    <w:p w:rsidR="00A90837" w:rsidRPr="00A90837" w:rsidRDefault="00A90837" w:rsidP="00A90837">
      <w:pPr>
        <w:jc w:val="center"/>
      </w:pPr>
    </w:p>
    <w:sectPr w:rsidR="00A90837" w:rsidRPr="00A90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A45"/>
    <w:rsid w:val="001D510E"/>
    <w:rsid w:val="0021561F"/>
    <w:rsid w:val="00250F2F"/>
    <w:rsid w:val="003F635E"/>
    <w:rsid w:val="004B366E"/>
    <w:rsid w:val="005150A3"/>
    <w:rsid w:val="0052400A"/>
    <w:rsid w:val="0054362E"/>
    <w:rsid w:val="0059248E"/>
    <w:rsid w:val="00596A45"/>
    <w:rsid w:val="006200B2"/>
    <w:rsid w:val="006A7204"/>
    <w:rsid w:val="0071546D"/>
    <w:rsid w:val="00722EE7"/>
    <w:rsid w:val="007B5AAD"/>
    <w:rsid w:val="00980DB6"/>
    <w:rsid w:val="009D09A2"/>
    <w:rsid w:val="00A90837"/>
    <w:rsid w:val="00B12034"/>
    <w:rsid w:val="00B16364"/>
    <w:rsid w:val="00CB7CAC"/>
    <w:rsid w:val="00E31690"/>
    <w:rsid w:val="00EC71D8"/>
    <w:rsid w:val="00F0726D"/>
    <w:rsid w:val="00FC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97138"/>
  <w15:chartTrackingRefBased/>
  <w15:docId w15:val="{D29C4B2A-9716-4F92-B5A5-386B8333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2034"/>
    <w:rPr>
      <w:color w:val="808080"/>
    </w:rPr>
  </w:style>
  <w:style w:type="table" w:styleId="TableGrid">
    <w:name w:val="Table Grid"/>
    <w:basedOn w:val="TableNormal"/>
    <w:uiPriority w:val="39"/>
    <w:rsid w:val="003F6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 Smith</dc:creator>
  <cp:keywords/>
  <dc:description/>
  <cp:lastModifiedBy>Joshua M Smith</cp:lastModifiedBy>
  <cp:revision>8</cp:revision>
  <dcterms:created xsi:type="dcterms:W3CDTF">2017-02-07T23:34:00Z</dcterms:created>
  <dcterms:modified xsi:type="dcterms:W3CDTF">2017-02-14T22:32:00Z</dcterms:modified>
</cp:coreProperties>
</file>