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Noto Sans CJK KR" w:hAnsi="Noto Sans CJK KR" w:eastAsia="Noto Sans CJK KR"/>
          <w:b/>
          <w:color w:val="1F4E78"/>
          <w:sz w:val="46"/>
        </w:rPr>
        <w:t>OCRT 330–1100 nm 광특성 분광자료</w:t>
      </w:r>
    </w:p>
    <w:p>
      <w:pPr>
        <w:jc w:val="center"/>
      </w:pPr>
      <w:r>
        <w:rPr>
          <w:color w:val="5A5A5A"/>
          <w:sz w:val="22"/>
        </w:rPr>
        <w:t>FR631 Mie 재생성 및 과학자료 준비 기술문서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381"/>
            <w:vAlign w:val="center"/>
            <w:shd w:fill="1F4E78"/>
          </w:tcPr>
          <w:p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항목</w:t>
            </w:r>
          </w:p>
        </w:tc>
        <w:tc>
          <w:tcPr>
            <w:tcW w:type="dxa" w:w="6520"/>
            <w:vAlign w:val="center"/>
            <w:shd w:fill="1F4E78"/>
          </w:tcPr>
          <w:p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값</w:t>
            </w:r>
          </w:p>
        </w:tc>
      </w:tr>
      <w:tr>
        <w:tc>
          <w:tcPr>
            <w:tcW w:type="dxa" w:w="2381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작성일</w:t>
            </w:r>
          </w:p>
        </w:tc>
        <w:tc>
          <w:tcPr>
            <w:tcW w:type="dxa" w:w="6520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2026-08-20</w:t>
            </w:r>
          </w:p>
        </w:tc>
      </w:tr>
      <w:tr>
        <w:tc>
          <w:tcPr>
            <w:tcW w:type="dxa" w:w="2381"/>
            <w:vAlign w:val="center"/>
            <w:shd w:fill="EAF2F8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대상</w:t>
            </w:r>
          </w:p>
        </w:tc>
        <w:tc>
          <w:tcPr>
            <w:tcW w:type="dxa" w:w="6520"/>
            <w:vAlign w:val="center"/>
            <w:shd w:fill="EAF2F8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OCRT C/Python paired integration</w:t>
            </w:r>
          </w:p>
        </w:tc>
      </w:tr>
      <w:tr>
        <w:tc>
          <w:tcPr>
            <w:tcW w:type="dxa" w:w="2381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분광범위</w:t>
            </w:r>
          </w:p>
        </w:tc>
        <w:tc>
          <w:tcPr>
            <w:tcW w:type="dxa" w:w="6520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330–1100 nm</w:t>
            </w:r>
          </w:p>
        </w:tc>
      </w:tr>
      <w:tr>
        <w:tc>
          <w:tcPr>
            <w:tcW w:type="dxa" w:w="2381"/>
            <w:vAlign w:val="center"/>
            <w:shd w:fill="EAF2F8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Mie 규격</w:t>
            </w:r>
          </w:p>
        </w:tc>
        <w:tc>
          <w:tcPr>
            <w:tcW w:type="dxa" w:w="6520"/>
            <w:vAlign w:val="center"/>
            <w:shd w:fill="EAF2F8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771 wavelength columns × 631 FR631 angles × P11/P12/P33</w:t>
            </w:r>
          </w:p>
        </w:tc>
      </w:tr>
      <w:tr>
        <w:tc>
          <w:tcPr>
            <w:tcW w:type="dxa" w:w="2381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상태</w:t>
            </w:r>
          </w:p>
        </w:tc>
        <w:tc>
          <w:tcPr>
            <w:tcW w:type="dxa" w:w="6520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DATA/GENERATION PASS; MAIN TREE INTEGRATION PENDING</w:t>
            </w:r>
          </w:p>
        </w:tc>
      </w:tr>
    </w:tbl>
    <w:p/>
    <w:p>
      <w:r>
        <w:br w:type="page"/>
      </w:r>
    </w:p>
    <w:p>
      <w:pPr>
        <w:pStyle w:val="Heading1"/>
      </w:pPr>
      <w:r>
        <w:t>1. 범위와 최종 인벤토리</w:t>
      </w:r>
    </w:p>
    <w:p>
      <w:r>
        <w:t>본 문서는 330–1100 nm 분광자료의 과학적 출처, 외삽·보간 정책, Mie 계산계약, 전수검증 및 제한사항을 기록한다.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948"/>
            <w:vAlign w:val="center"/>
            <w:shd w:fill="1F4E78"/>
          </w:tcPr>
          <w:p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분류</w:t>
            </w:r>
          </w:p>
        </w:tc>
        <w:tc>
          <w:tcPr>
            <w:tcW w:type="dxa" w:w="1134"/>
            <w:vAlign w:val="center"/>
            <w:shd w:fill="1F4E78"/>
          </w:tcPr>
          <w:p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수량</w:t>
            </w:r>
          </w:p>
        </w:tc>
        <w:tc>
          <w:tcPr>
            <w:tcW w:type="dxa" w:w="4535"/>
            <w:vAlign w:val="center"/>
            <w:shd w:fill="1F4E78"/>
          </w:tcPr>
          <w:p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규격</w:t>
            </w:r>
          </w:p>
        </w:tc>
      </w:tr>
      <w:tr>
        <w:tc>
          <w:tcPr>
            <w:tcW w:type="dxa" w:w="2948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SNF/OPAC aerosol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16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771×FR631×3</w:t>
            </w:r>
          </w:p>
        </w:tc>
      </w:tr>
      <w:tr>
        <w:tc>
          <w:tcPr>
            <w:tcW w:type="dxa" w:w="2948"/>
            <w:vAlign w:val="center"/>
            <w:shd w:fill="EAF2F8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Ahmad paper aerosol</w:t>
            </w:r>
          </w:p>
        </w:tc>
        <w:tc>
          <w:tcPr>
            <w:tcW w:type="dxa" w:w="1134"/>
            <w:vAlign w:val="center"/>
            <w:shd w:fill="EAF2F8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80</w:t>
            </w:r>
          </w:p>
        </w:tc>
        <w:tc>
          <w:tcPr>
            <w:tcW w:type="dxa" w:w="4535"/>
            <w:vAlign w:val="center"/>
            <w:shd w:fill="EAF2F8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771×FR631×3</w:t>
            </w:r>
          </w:p>
        </w:tc>
      </w:tr>
      <w:tr>
        <w:tc>
          <w:tcPr>
            <w:tcW w:type="dxa" w:w="2948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Ahmad AccuRT aerosol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80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771×FR631×3</w:t>
            </w:r>
          </w:p>
        </w:tc>
      </w:tr>
      <w:tr>
        <w:tc>
          <w:tcPr>
            <w:tcW w:type="dxa" w:w="2948"/>
            <w:vAlign w:val="center"/>
            <w:shd w:fill="EAF2F8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AHN mineral</w:t>
            </w:r>
          </w:p>
        </w:tc>
        <w:tc>
          <w:tcPr>
            <w:tcW w:type="dxa" w:w="1134"/>
            <w:vAlign w:val="center"/>
            <w:shd w:fill="EAF2F8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4</w:t>
            </w:r>
          </w:p>
        </w:tc>
        <w:tc>
          <w:tcPr>
            <w:tcW w:type="dxa" w:w="4535"/>
            <w:vAlign w:val="center"/>
            <w:shd w:fill="EAF2F8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771×FR631×3</w:t>
            </w:r>
          </w:p>
        </w:tc>
      </w:tr>
      <w:tr>
        <w:tc>
          <w:tcPr>
            <w:tcW w:type="dxa" w:w="2948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Detritus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1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771×FR631×3</w:t>
            </w:r>
          </w:p>
        </w:tc>
      </w:tr>
      <w:tr>
        <w:tc>
          <w:tcPr>
            <w:tcW w:type="dxa" w:w="2948"/>
            <w:vAlign w:val="center"/>
            <w:shd w:fill="EAF2F8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EAP phytoplankton</w:t>
            </w:r>
          </w:p>
        </w:tc>
        <w:tc>
          <w:tcPr>
            <w:tcW w:type="dxa" w:w="1134"/>
            <w:vAlign w:val="center"/>
            <w:shd w:fill="EAF2F8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17</w:t>
            </w:r>
          </w:p>
        </w:tc>
        <w:tc>
          <w:tcPr>
            <w:tcW w:type="dxa" w:w="4535"/>
            <w:vAlign w:val="center"/>
            <w:shd w:fill="EAF2F8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771×FR631×3</w:t>
            </w:r>
          </w:p>
        </w:tc>
      </w:tr>
    </w:tbl>
    <w:p/>
    <w:p>
      <w:pPr>
        <w:pStyle w:val="Heading1"/>
      </w:pPr>
      <w:r>
        <w:t>2. FR631 angle representation</w:t>
      </w:r>
    </w:p>
    <w:p>
      <w:r>
        <w:t>FR631은 전방 산란으로 갈수록 해상도가 증가하는 고정 631점 격자이다. explicit list를 파일 기록 정본으로 사용했다.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835"/>
            <w:vAlign w:val="center"/>
            <w:shd w:fill="1F4E78"/>
          </w:tcPr>
          <w:p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산란각 구간</w:t>
            </w:r>
          </w:p>
        </w:tc>
        <w:tc>
          <w:tcPr>
            <w:tcW w:type="dxa" w:w="1984"/>
            <w:vAlign w:val="center"/>
            <w:shd w:fill="1F4E78"/>
          </w:tcPr>
          <w:p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간격</w:t>
            </w:r>
          </w:p>
        </w:tc>
        <w:tc>
          <w:tcPr>
            <w:tcW w:type="dxa" w:w="1984"/>
            <w:vAlign w:val="center"/>
            <w:shd w:fill="1F4E78"/>
          </w:tcPr>
          <w:p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interval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180→20°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0.5°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320</w:t>
            </w:r>
          </w:p>
        </w:tc>
      </w:tr>
      <w:tr>
        <w:tc>
          <w:tcPr>
            <w:tcW w:type="dxa" w:w="2835"/>
            <w:vAlign w:val="center"/>
            <w:shd w:fill="EAF2F8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20→5°</w:t>
            </w:r>
          </w:p>
        </w:tc>
        <w:tc>
          <w:tcPr>
            <w:tcW w:type="dxa" w:w="1984"/>
            <w:vAlign w:val="center"/>
            <w:shd w:fill="EAF2F8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0.1°</w:t>
            </w:r>
          </w:p>
        </w:tc>
        <w:tc>
          <w:tcPr>
            <w:tcW w:type="dxa" w:w="1984"/>
            <w:vAlign w:val="center"/>
            <w:shd w:fill="EAF2F8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150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5→1°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0.05°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80</w:t>
            </w:r>
          </w:p>
        </w:tc>
      </w:tr>
      <w:tr>
        <w:tc>
          <w:tcPr>
            <w:tcW w:type="dxa" w:w="2835"/>
            <w:vAlign w:val="center"/>
            <w:shd w:fill="EAF2F8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1→0.2°</w:t>
            </w:r>
          </w:p>
        </w:tc>
        <w:tc>
          <w:tcPr>
            <w:tcW w:type="dxa" w:w="1984"/>
            <w:vAlign w:val="center"/>
            <w:shd w:fill="EAF2F8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0.02°</w:t>
            </w:r>
          </w:p>
        </w:tc>
        <w:tc>
          <w:tcPr>
            <w:tcW w:type="dxa" w:w="1984"/>
            <w:vAlign w:val="center"/>
            <w:shd w:fill="EAF2F8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40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0.2→0°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0.005°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40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28818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R631_ANGLE_SPACING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2881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그림 1. FR631 각도간격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28818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R631_VS_LEGACY361_POINT_DENSITY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2881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그림 2. FR631과 legacy 361각의 전방 점밀도 비교</w:t>
      </w:r>
    </w:p>
    <w:p>
      <w:r>
        <w:t>규격 본문의 [0°,1°), [0°,10°) 요약 점수는 explicit list와 차이가 있다. 문서가 exact list를 정본으로 지정하므로 explicit 631-line list를 채택했으며 실제 점수는 80, 210이다.</w:t>
      </w:r>
    </w:p>
    <w:p>
      <w:pPr>
        <w:pStyle w:val="Heading1"/>
      </w:pPr>
      <w:r>
        <w:t>3. 공통 Mie 계산·materialization</w:t>
      </w:r>
    </w:p>
    <w:p>
      <w:pPr>
        <w:pStyle w:val="ListBullet"/>
      </w:pPr>
      <w:r>
        <w:t>각 source wavelength에서 FR631 631각을 직접 계산</w:t>
      </w:r>
    </w:p>
    <w:p>
      <w:pPr>
        <w:pStyle w:val="ListBullet"/>
      </w:pPr>
      <w:r>
        <w:t>P11을 1/2∫P11dμ=1로 정규화</w:t>
      </w:r>
    </w:p>
    <w:p>
      <w:pPr>
        <w:pStyle w:val="ListBullet"/>
      </w:pPr>
      <w:r>
        <w:t>P11 wavelength interpolation: log-PCHIP</w:t>
      </w:r>
    </w:p>
    <w:p>
      <w:pPr>
        <w:pStyle w:val="ListBullet"/>
      </w:pPr>
      <w:r>
        <w:t>P12/P11 및 P33/P11: PCHIP 후 [-1,1] 제한</w:t>
      </w:r>
    </w:p>
    <w:p>
      <w:pPr>
        <w:pStyle w:val="ListBullet"/>
      </w:pPr>
      <w:r>
        <w:t>각 1 nm column 재정규화</w:t>
      </w:r>
    </w:p>
    <w:p>
      <w:pPr>
        <w:pStyle w:val="ListBullet"/>
      </w:pPr>
      <w:r>
        <w:t>g를 최종 FR631 P11에서 재계산</w:t>
      </w:r>
    </w:p>
    <w:p>
      <w:pPr>
        <w:pStyle w:val="ListBullet"/>
      </w:pPr>
      <w:r>
        <w:t>runtime fractional wavelength/angle은 linear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40156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R631_P11_FORWARD_443NM_REPRESENTATIV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4015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그림 3. 대표 계열의 443 nm 전방 P11</w:t>
      </w:r>
    </w:p>
    <w:p>
      <w:pPr>
        <w:pStyle w:val="Heading1"/>
      </w:pPr>
      <w:r>
        <w:t>4. Aerosol 176종</w:t>
      </w:r>
    </w:p>
    <w:p>
      <w:r>
        <w:t>SNF/OPAC 16종과 Ahmad2010 paper/AccuRT 각 80종을 동일 generator kernel과 FR631 writer로 재생성했다. 330 nm는 350–400 nm RI 선형외삽, 1100 nm는 860–1240 nm 선형내삽이다.</w:t>
      </w:r>
    </w:p>
    <w:p>
      <w:pPr>
        <w:ind w:left="283" w:right="283"/>
        <w:shd w:fill="F2F2F2"/>
      </w:pPr>
      <w:r>
        <w:rPr>
          <w:rFonts w:ascii="Noto Sans Mono CJK KR" w:hAnsi="Noto Sans Mono CJK KR" w:eastAsia="Noto Sans Mono CJK KR"/>
          <w:sz w:val="16"/>
        </w:rPr>
        <w:t>Direct source wavelengths: 330 350 400 412 443 470 488 515 550 590 633 670 694 760 860 1100 nm</w:t>
      </w:r>
    </w:p>
    <w:p>
      <w:pPr>
        <w:pStyle w:val="Heading1"/>
      </w:pPr>
      <w:r>
        <w:t>5. AHN 광물 4종</w:t>
      </w:r>
    </w:p>
    <w:p>
      <w:r>
        <w:t>Ahn (1990) Chapter 3의 Fig. 3-2 PSD, Table 3.1, Fig. 3-7a/b complex RI를 입력으로 사용했다. 논문 정의에 따라 seawater host n=1.34, vacuum wavelength를 사용했다. 미판독 PSD tail은 central 계산에서 0으로 두었다.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551"/>
            <w:vAlign w:val="center"/>
            <w:shd w:fill="1F4E78"/>
          </w:tcPr>
          <w:p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항목</w:t>
            </w:r>
          </w:p>
        </w:tc>
        <w:tc>
          <w:tcPr>
            <w:tcW w:type="dxa" w:w="5953"/>
            <w:vAlign w:val="center"/>
            <w:shd w:fill="1F4E78"/>
          </w:tcPr>
          <w:p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처리</w:t>
            </w:r>
          </w:p>
        </w:tc>
      </w:tr>
      <w:tr>
        <w:tc>
          <w:tcPr>
            <w:tcW w:type="dxa" w:w="2551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PSD</w:t>
            </w:r>
          </w:p>
        </w:tc>
        <w:tc>
          <w:tcPr>
            <w:tcW w:type="dxa" w:w="5953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Fig. 3-2 digitization; relative number distribution</w:t>
            </w:r>
          </w:p>
        </w:tc>
      </w:tr>
      <w:tr>
        <w:tc>
          <w:tcPr>
            <w:tcW w:type="dxa" w:w="2551"/>
            <w:vAlign w:val="center"/>
            <w:shd w:fill="EAF2F8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330–399 nm RI</w:t>
            </w:r>
          </w:p>
        </w:tc>
        <w:tc>
          <w:tcPr>
            <w:tcW w:type="dxa" w:w="5953"/>
            <w:vAlign w:val="center"/>
            <w:shd w:fill="EAF2F8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400–420 nm trend linear extrapolation</w:t>
            </w:r>
          </w:p>
        </w:tc>
      </w:tr>
      <w:tr>
        <w:tc>
          <w:tcPr>
            <w:tcW w:type="dxa" w:w="2551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400–750 nm RI</w:t>
            </w:r>
          </w:p>
        </w:tc>
        <w:tc>
          <w:tcPr>
            <w:tcW w:type="dxa" w:w="5953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digitized source</w:t>
            </w:r>
          </w:p>
        </w:tc>
      </w:tr>
      <w:tr>
        <w:tc>
          <w:tcPr>
            <w:tcW w:type="dxa" w:w="2551"/>
            <w:vAlign w:val="center"/>
            <w:shd w:fill="EAF2F8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751–1100 nm RI</w:t>
            </w:r>
          </w:p>
        </w:tc>
        <w:tc>
          <w:tcPr>
            <w:tcW w:type="dxa" w:w="5953"/>
            <w:vAlign w:val="center"/>
            <w:shd w:fill="EAF2F8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linear extrapolation</w:t>
            </w:r>
          </w:p>
        </w:tc>
      </w:tr>
      <w:tr>
        <w:tc>
          <w:tcPr>
            <w:tcW w:type="dxa" w:w="2551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noise</w:t>
            </w:r>
          </w:p>
        </w:tc>
        <w:tc>
          <w:tcPr>
            <w:tcW w:type="dxa" w:w="5953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real/imag 50 nm low-pass</w:t>
            </w:r>
          </w:p>
        </w:tc>
      </w:tr>
      <w:tr>
        <w:tc>
          <w:tcPr>
            <w:tcW w:type="dxa" w:w="2551"/>
            <w:vAlign w:val="center"/>
            <w:shd w:fill="EAF2F8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shape</w:t>
            </w:r>
          </w:p>
        </w:tc>
        <w:tc>
          <w:tcPr>
            <w:tcW w:type="dxa" w:w="5953"/>
            <w:vAlign w:val="center"/>
            <w:shd w:fill="EAF2F8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homogeneous equivalent sphere</w:t>
            </w:r>
          </w:p>
        </w:tc>
      </w:tr>
    </w:tbl>
    <w:p/>
    <w:p>
      <w:pPr>
        <w:pStyle w:val="Heading1"/>
      </w:pPr>
      <w:r>
        <w:t>6. Detritus 및 EAP</w:t>
      </w:r>
    </w:p>
    <w:p>
      <w:r>
        <w:t>Detritus는 보존된 Stramski2001 recipe를 사용했다: D^-4 Junge PSD, 0.05–500 μm, relative real index 1.04, seawater host 1.334. EAP 17종은 기존 350–850 nm RI를 보존하고 양끝을 edge regression으로 확장했다. EAP는 기본 비활성이다.</w:t>
      </w:r>
    </w:p>
    <w:p>
      <w:pPr>
        <w:pStyle w:val="Heading1"/>
      </w:pPr>
      <w:r>
        <w:t>7. Non-Mie spectral data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268"/>
            <w:vAlign w:val="center"/>
            <w:shd w:fill="1F4E78"/>
          </w:tcPr>
          <w:p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자료</w:t>
            </w:r>
          </w:p>
        </w:tc>
        <w:tc>
          <w:tcPr>
            <w:tcW w:type="dxa" w:w="6236"/>
            <w:vAlign w:val="center"/>
            <w:shd w:fill="1F4E78"/>
          </w:tcPr>
          <w:p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정책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PLOPS a*ph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330–750 source; 750–800 zero taper; ≥800 exact zero</w:t>
            </w:r>
          </w:p>
        </w:tc>
      </w:tr>
      <w:tr>
        <w:tc>
          <w:tcPr>
            <w:tcW w:type="dxa" w:w="2268"/>
            <w:vAlign w:val="center"/>
            <w:shd w:fill="EAF2F8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AHN a*,b*</w:t>
            </w:r>
          </w:p>
        </w:tc>
        <w:tc>
          <w:tcPr>
            <w:tcW w:type="dxa" w:w="6236"/>
            <w:vAlign w:val="center"/>
            <w:shd w:fill="EAF2F8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330–399 linear extrapolation from 400–420; ≥400 canonical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gas xsec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6 gases, 330–1100, 1 nm, AFGL 40 levels</w:t>
            </w:r>
          </w:p>
        </w:tc>
      </w:tr>
      <w:tr>
        <w:tc>
          <w:tcPr>
            <w:tcW w:type="dxa" w:w="2268"/>
            <w:vAlign w:val="center"/>
            <w:shd w:fill="EAF2F8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ψT</w:t>
            </w:r>
          </w:p>
        </w:tc>
        <w:tc>
          <w:tcPr>
            <w:tcW w:type="dxa" w:w="6236"/>
            <w:vAlign w:val="center"/>
            <w:shd w:fill="EAF2F8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330–440 exact zero; 441–1100 Röttgers/WOPP</w:t>
            </w:r>
          </w:p>
        </w:tc>
      </w:tr>
    </w:tbl>
    <w:p/>
    <w:p>
      <w:pPr>
        <w:pStyle w:val="Heading1"/>
      </w:pPr>
      <w:r>
        <w:t>8. 전수검증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3402"/>
            <w:vAlign w:val="center"/>
            <w:shd w:fill="1F4E78"/>
          </w:tcPr>
          <w:p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지표</w:t>
            </w:r>
          </w:p>
        </w:tc>
        <w:tc>
          <w:tcPr>
            <w:tcW w:type="dxa" w:w="4819"/>
            <w:vAlign w:val="center"/>
            <w:shd w:fill="1F4E78"/>
          </w:tcPr>
          <w:p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결과</w:t>
            </w:r>
          </w:p>
        </w:tc>
      </w:tr>
      <w:tr>
        <w:tc>
          <w:tcPr>
            <w:tcW w:type="dxa" w:w="3402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canonical files</w:t>
            </w:r>
          </w:p>
        </w:tc>
        <w:tc>
          <w:tcPr>
            <w:tcW w:type="dxa" w:w="4819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198/198 PASS</w:t>
            </w:r>
          </w:p>
        </w:tc>
      </w:tr>
      <w:tr>
        <w:tc>
          <w:tcPr>
            <w:tcW w:type="dxa" w:w="3402"/>
            <w:vAlign w:val="center"/>
            <w:shd w:fill="EAF2F8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uncompressed bytes</w:t>
            </w:r>
          </w:p>
        </w:tc>
        <w:tc>
          <w:tcPr>
            <w:tcW w:type="dxa" w:w="4819"/>
            <w:vAlign w:val="center"/>
            <w:shd w:fill="EAF2F8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4,941,848,335</w:t>
            </w:r>
          </w:p>
        </w:tc>
      </w:tr>
      <w:tr>
        <w:tc>
          <w:tcPr>
            <w:tcW w:type="dxa" w:w="3402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phase normalization max</w:t>
            </w:r>
          </w:p>
        </w:tc>
        <w:tc>
          <w:tcPr>
            <w:tcW w:type="dxa" w:w="4819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1.0951693e-9</w:t>
            </w:r>
          </w:p>
        </w:tc>
      </w:tr>
      <w:tr>
        <w:tc>
          <w:tcPr>
            <w:tcW w:type="dxa" w:w="3402"/>
            <w:vAlign w:val="center"/>
            <w:shd w:fill="EAF2F8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g consistency max</w:t>
            </w:r>
          </w:p>
        </w:tc>
        <w:tc>
          <w:tcPr>
            <w:tcW w:type="dxa" w:w="4819"/>
            <w:vAlign w:val="center"/>
            <w:shd w:fill="EAF2F8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5.8674521e-10</w:t>
            </w:r>
          </w:p>
        </w:tc>
      </w:tr>
      <w:tr>
        <w:tc>
          <w:tcPr>
            <w:tcW w:type="dxa" w:w="3402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P12/P33 bound violation</w:t>
            </w:r>
          </w:p>
        </w:tc>
        <w:tc>
          <w:tcPr>
            <w:tcW w:type="dxa" w:w="4819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0 / 0</w:t>
            </w:r>
          </w:p>
        </w:tc>
      </w:tr>
      <w:tr>
        <w:tc>
          <w:tcPr>
            <w:tcW w:type="dxa" w:w="3402"/>
            <w:vAlign w:val="center"/>
            <w:shd w:fill="EAF2F8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SSA identity max</w:t>
            </w:r>
          </w:p>
        </w:tc>
        <w:tc>
          <w:tcPr>
            <w:tcW w:type="dxa" w:w="4819"/>
            <w:vAlign w:val="center"/>
            <w:shd w:fill="EAF2F8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5.0232787e-9</w:t>
            </w:r>
          </w:p>
        </w:tc>
      </w:tr>
      <w:tr>
        <w:tc>
          <w:tcPr>
            <w:tcW w:type="dxa" w:w="3402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C build</w:t>
            </w:r>
          </w:p>
        </w:tc>
        <w:tc>
          <w:tcPr>
            <w:tcW w:type="dxa" w:w="4819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PASS, warnings 0</w:t>
            </w:r>
          </w:p>
        </w:tc>
      </w:tr>
      <w:tr>
        <w:tc>
          <w:tcPr>
            <w:tcW w:type="dxa" w:w="3402"/>
            <w:vAlign w:val="center"/>
            <w:shd w:fill="EAF2F8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C/Python reader</w:t>
            </w:r>
          </w:p>
        </w:tc>
        <w:tc>
          <w:tcPr>
            <w:tcW w:type="dxa" w:w="4819"/>
            <w:vAlign w:val="center"/>
            <w:shd w:fill="EAF2F8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PASS / PASS</w:t>
            </w:r>
          </w:p>
        </w:tc>
      </w:tr>
    </w:tbl>
    <w:p/>
    <w:p>
      <w:pPr>
        <w:pStyle w:val="Heading1"/>
      </w:pPr>
      <w:r>
        <w:t>9. 제한과 provenance boundary</w:t>
      </w:r>
    </w:p>
    <w:p>
      <w:pPr>
        <w:pStyle w:val="ListBullet"/>
      </w:pPr>
      <w:r>
        <w:t>AHN은 source-informed reconstruction이며 exact historical generator reproduction이 아니다.</w:t>
      </w:r>
    </w:p>
    <w:p>
      <w:pPr>
        <w:pStyle w:val="ListBullet"/>
      </w:pPr>
      <w:r>
        <w:t>EAP는 data-complete이나 production default disabled이다.</w:t>
      </w:r>
    </w:p>
    <w:p>
      <w:pPr>
        <w:pStyle w:val="ListBullet"/>
      </w:pPr>
      <w:r>
        <w:t>1 nm phase columns은 direct source wavelength nodes 사이에서 spectral materialization되었다.</w:t>
      </w:r>
    </w:p>
    <w:p>
      <w:pPr>
        <w:pStyle w:val="ListBullet"/>
      </w:pPr>
      <w:r>
        <w:t>O2–O2/O4 CIA와 Raman은 scope 밖이다.</w:t>
      </w:r>
    </w:p>
    <w:p>
      <w:pPr>
        <w:pStyle w:val="ListBullet"/>
      </w:pPr>
      <w:r>
        <w:t>3개 generic/legacy Mie aliases는 canonical set에서 제외했다.</w:t>
      </w:r>
    </w:p>
    <w:p>
      <w:pPr>
        <w:pStyle w:val="Heading1"/>
      </w:pPr>
      <w:r>
        <w:t>10. 참고문헌</w:t>
      </w:r>
    </w:p>
    <w:p>
      <w:pPr>
        <w:ind w:left="397" w:hanging="397"/>
      </w:pPr>
      <w:r>
        <w:t>1. Ahn, Y.-H. (1990). Propriétés optiques des particules biologiques et minérales présentes dans l’océan; application: inversion de la réflectance. Thèse, Université Paris VI.</w:t>
      </w:r>
    </w:p>
    <w:p>
      <w:pPr>
        <w:ind w:left="397" w:hanging="397"/>
      </w:pPr>
      <w:r>
        <w:t>2. Lomas, M. W., et al. (2024). Phytoplankton optical fingerprint libraries for development of phytoplankton ocean color satellite products. Scientific Data 11:168. doi:10.1038/s41597-024-03001-z.</w:t>
      </w:r>
    </w:p>
    <w:p>
      <w:pPr>
        <w:ind w:left="397" w:hanging="397"/>
      </w:pPr>
      <w:r>
        <w:t>3. Ahmad, Z., et al. (2010). New aerosol models for the retrieval of aerosol optical thickness and normalized water-leaving radiances from the SeaWiFS and MODIS sensors over coastal regions and open oceans. Applied Optics 49:5545–5560. doi:10.1364/AO.49.005545.</w:t>
      </w:r>
    </w:p>
    <w:p>
      <w:pPr>
        <w:ind w:left="397" w:hanging="397"/>
      </w:pPr>
      <w:r>
        <w:t>4. Hess, M., Koepke, P., &amp; Schult, I. (1998). Optical Properties of Aerosols and Clouds: The Software Package OPAC. BAMS 79:831–844. doi:10.1175/1520-0477(1998)079&lt;0831:OPOAAC&gt;2.0.CO;2.</w:t>
      </w:r>
    </w:p>
    <w:p>
      <w:pPr>
        <w:ind w:left="397" w:hanging="397"/>
      </w:pPr>
      <w:r>
        <w:t>5. Stramski, D., Bricaud, A., &amp; Morel, A. (2001). Modeling the inherent optical properties of the ocean based on the detailed composition of the planktonic community. Applied Optics 40:2929–2945. doi:10.1364/AO.40.002929.</w:t>
      </w:r>
    </w:p>
    <w:p>
      <w:pPr>
        <w:ind w:left="397" w:hanging="397"/>
      </w:pPr>
      <w:r>
        <w:t>6. Röttgers, R., McKee, D., &amp; Utschig, C. (2014). Temperature and salinity correction coefficients for light absorption by water in the visible to infrared spectral region. Optics Express 22:25093–25108. doi:10.1364/OE.22.025093.</w:t>
      </w:r>
    </w:p>
    <w:p>
      <w:pPr>
        <w:ind w:left="397" w:hanging="397"/>
      </w:pPr>
      <w:r>
        <w:t>7. Sullivan, J. M., et al. (2006). Hyperspectral temperature and salt dependencies of absorption by water and heavy water in the 400–750 nm spectral range. Applied Optics 45:5294–5309. doi:10.1364/AO.45.005294.</w:t>
      </w:r>
    </w:p>
    <w:p>
      <w:pPr>
        <w:ind w:left="397" w:hanging="397"/>
      </w:pPr>
      <w:r>
        <w:t>8. Kochanov, R. V., et al. (2016). HITRAN Application Programming Interface (HAPI). JQSRT 177:15–30. doi:10.1016/j.jqsrt.2016.03.005.</w:t>
      </w:r>
    </w:p>
    <w:p>
      <w:pPr>
        <w:ind w:left="397" w:hanging="397"/>
      </w:pPr>
      <w:r>
        <w:t>9. Gorshelev, V., et al. (2014). High spectral resolution ozone absorption cross-sections – Part 1. AMT 7:609–624. doi:10.5194/amt-7-609-2014.</w:t>
      </w:r>
    </w:p>
    <w:p>
      <w:pPr>
        <w:ind w:left="397" w:hanging="397"/>
      </w:pPr>
      <w:r>
        <w:t>10. Serdyuchenko, A., et al. (2014). High spectral resolution ozone absorption cross-sections – Part 2. AMT 7:625–636. doi:10.5194/amt-7-625-2014.</w:t>
      </w:r>
    </w:p>
    <w:p>
      <w:pPr>
        <w:ind w:left="397" w:hanging="397"/>
      </w:pPr>
      <w:r>
        <w:t>11. Vandaele, A. C., et al. (1998). Measurements of the NO2 absorption cross-section from 42,000 to 10,000 cm−1 at 220 K and 294 K. JQSRT 59:171–184. doi:10.1016/S0022-4073(97)00168-4.</w:t>
      </w:r>
    </w:p>
    <w:p>
      <w:pPr>
        <w:ind w:left="397" w:hanging="397"/>
      </w:pPr>
      <w:r>
        <w:t>12. Bohren, C. F., &amp; Huffman, D. R. (1983). Absorption and Scattering of Light by Small Particles. Wiley.</w:t>
      </w:r>
    </w:p>
    <w:p>
      <w:pPr>
        <w:ind w:left="397" w:hanging="397"/>
      </w:pPr>
      <w:r>
        <w:t>13. van de Hulst, H. C. (1957). Light Scattering by Small Particles. Wiley.</w:t>
      </w:r>
    </w:p>
    <w:p>
      <w:pPr>
        <w:ind w:left="397" w:hanging="397"/>
      </w:pPr>
      <w:r>
        <w:t>14. Fritsch, F. N., &amp; Carlson, R. E. (1980). Monotone piecewise cubic interpolation. SIAM J. Numer. Anal. 17:238–246.</w:t>
      </w:r>
    </w:p>
    <w:sectPr w:rsidR="00FC693F" w:rsidRPr="0006063C" w:rsidSect="00034616">
      <w:footerReference w:type="default" r:id="rId12"/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464"/>
        <w:sz w:val="16"/>
      </w:rPr>
      <w:t>OCRT 330–1100 nm FR631 spectral data handoff | 2026-08-20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KR" w:hAnsi="Noto Sans CJK KR" w:eastAsia="Noto Sans CJK KR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1F4E7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464646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KR" w:hAnsi="Noto Sans CJK KR" w:eastAsia="Noto Sans CJK KR"/>
      <w:color w:val="1F4E78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Noto Sans CJK KR" w:hAnsi="Noto Sans CJK KR" w:eastAsia="Noto Sans CJK KR"/>
      <w:i/>
      <w:iCs/>
      <w:color w:val="505050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