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86B37" w14:textId="77777777" w:rsidR="007937E9" w:rsidRDefault="007937E9">
      <w:pPr>
        <w:rPr>
          <w:rFonts w:hint="eastAsia"/>
        </w:rPr>
      </w:pPr>
    </w:p>
    <w:p w14:paraId="6D55F1DF" w14:textId="77777777" w:rsidR="007937E9" w:rsidRDefault="007937E9">
      <w:pPr>
        <w:rPr>
          <w:rFonts w:hint="eastAsia"/>
        </w:rPr>
      </w:pPr>
    </w:p>
    <w:p w14:paraId="152CF080" w14:textId="77777777" w:rsidR="007937E9" w:rsidRDefault="00000000">
      <w:pPr>
        <w:jc w:val="center"/>
        <w:rPr>
          <w:rFonts w:hint="eastAsia"/>
        </w:rPr>
      </w:pPr>
      <w:r>
        <w:rPr>
          <w:b/>
        </w:rPr>
        <w:t>UNIVERSIDADE DE SÃO PAULO</w:t>
      </w:r>
      <w:r>
        <w:rPr>
          <w:b/>
        </w:rPr>
        <w:br/>
        <w:t>ESCOLA POLITÉCNICA</w:t>
      </w:r>
      <w:r>
        <w:rPr>
          <w:b/>
        </w:rPr>
        <w:br/>
        <w:t>PECE - PROGRAMA DE EDUCAÇÃO CONTINUADA</w:t>
      </w:r>
    </w:p>
    <w:p w14:paraId="781314F8" w14:textId="77777777" w:rsidR="007937E9" w:rsidRDefault="007937E9">
      <w:pPr>
        <w:rPr>
          <w:rFonts w:hint="eastAsia"/>
        </w:rPr>
      </w:pPr>
    </w:p>
    <w:p w14:paraId="0F187053" w14:textId="77777777" w:rsidR="007937E9" w:rsidRDefault="007937E9">
      <w:pPr>
        <w:rPr>
          <w:rFonts w:hint="eastAsia"/>
        </w:rPr>
      </w:pPr>
    </w:p>
    <w:p w14:paraId="3799C7F1" w14:textId="1DDC3C51" w:rsidR="007937E9" w:rsidRDefault="000F20F7">
      <w:pPr>
        <w:jc w:val="center"/>
        <w:rPr>
          <w:rFonts w:hint="eastAsia"/>
        </w:rPr>
      </w:pPr>
      <w:r>
        <w:rPr>
          <w:b/>
        </w:rPr>
        <w:t>GRUPO 6</w:t>
      </w:r>
    </w:p>
    <w:p w14:paraId="21982D56" w14:textId="77777777" w:rsidR="007937E9" w:rsidRDefault="007937E9">
      <w:pPr>
        <w:rPr>
          <w:rFonts w:hint="eastAsia"/>
        </w:rPr>
      </w:pPr>
    </w:p>
    <w:p w14:paraId="66100C57" w14:textId="77777777" w:rsidR="007937E9" w:rsidRDefault="007937E9">
      <w:pPr>
        <w:rPr>
          <w:rFonts w:hint="eastAsia"/>
        </w:rPr>
      </w:pPr>
    </w:p>
    <w:p w14:paraId="10B6461E" w14:textId="77777777" w:rsidR="007937E9" w:rsidRDefault="007937E9">
      <w:pPr>
        <w:rPr>
          <w:rFonts w:hint="eastAsia"/>
        </w:rPr>
      </w:pPr>
    </w:p>
    <w:p w14:paraId="3BAC9E94" w14:textId="77777777" w:rsidR="007937E9" w:rsidRDefault="007937E9">
      <w:pPr>
        <w:rPr>
          <w:rFonts w:hint="eastAsia"/>
        </w:rPr>
      </w:pPr>
    </w:p>
    <w:p w14:paraId="684C57A6" w14:textId="77777777" w:rsidR="007937E9" w:rsidRDefault="00000000">
      <w:pPr>
        <w:jc w:val="center"/>
        <w:rPr>
          <w:rFonts w:hint="eastAsia"/>
        </w:rPr>
      </w:pPr>
      <w:r>
        <w:rPr>
          <w:b/>
          <w:sz w:val="32"/>
        </w:rPr>
        <w:t>RELATÓRIO TÉCNICO</w:t>
      </w:r>
      <w:r>
        <w:br/>
      </w:r>
      <w:r>
        <w:rPr>
          <w:b/>
          <w:sz w:val="32"/>
        </w:rPr>
        <w:t>ATIVIDADE 3 - INGESTÃO E ETL COM PYTHON + SPARK</w:t>
      </w:r>
    </w:p>
    <w:p w14:paraId="53CB6ADF" w14:textId="77777777" w:rsidR="007937E9" w:rsidRDefault="007937E9">
      <w:pPr>
        <w:rPr>
          <w:rFonts w:hint="eastAsia"/>
        </w:rPr>
      </w:pPr>
    </w:p>
    <w:p w14:paraId="3DCFD89C" w14:textId="77777777" w:rsidR="007937E9" w:rsidRDefault="007937E9">
      <w:pPr>
        <w:rPr>
          <w:rFonts w:hint="eastAsia"/>
        </w:rPr>
      </w:pPr>
    </w:p>
    <w:p w14:paraId="69B5AC37" w14:textId="77777777" w:rsidR="007937E9" w:rsidRDefault="007937E9">
      <w:pPr>
        <w:rPr>
          <w:rFonts w:hint="eastAsia"/>
        </w:rPr>
      </w:pPr>
    </w:p>
    <w:p w14:paraId="799CA81F" w14:textId="77777777" w:rsidR="007937E9" w:rsidRDefault="00000000">
      <w:pPr>
        <w:jc w:val="center"/>
        <w:rPr>
          <w:rFonts w:hint="eastAsia"/>
        </w:rPr>
      </w:pPr>
      <w:r>
        <w:t>Disciplina: Ingestão de Dados e Pipeline</w:t>
      </w:r>
      <w:r>
        <w:br/>
        <w:t>Especialização em Engenharia de Dados &amp; Big Data</w:t>
      </w:r>
    </w:p>
    <w:p w14:paraId="09EAADEB" w14:textId="77777777" w:rsidR="007937E9" w:rsidRDefault="007937E9">
      <w:pPr>
        <w:rPr>
          <w:rFonts w:hint="eastAsia"/>
        </w:rPr>
      </w:pPr>
    </w:p>
    <w:p w14:paraId="0B1EBF34" w14:textId="77777777" w:rsidR="007937E9" w:rsidRDefault="007937E9">
      <w:pPr>
        <w:rPr>
          <w:rFonts w:hint="eastAsia"/>
        </w:rPr>
      </w:pPr>
    </w:p>
    <w:p w14:paraId="3599F586" w14:textId="77777777" w:rsidR="007937E9" w:rsidRDefault="007937E9">
      <w:pPr>
        <w:rPr>
          <w:rFonts w:hint="eastAsia"/>
        </w:rPr>
      </w:pPr>
    </w:p>
    <w:p w14:paraId="6E6CE207" w14:textId="77777777" w:rsidR="007937E9" w:rsidRDefault="007937E9">
      <w:pPr>
        <w:rPr>
          <w:rFonts w:hint="eastAsia"/>
        </w:rPr>
      </w:pPr>
    </w:p>
    <w:p w14:paraId="62282A44" w14:textId="77777777" w:rsidR="007937E9" w:rsidRDefault="007937E9">
      <w:pPr>
        <w:rPr>
          <w:rFonts w:hint="eastAsia"/>
        </w:rPr>
      </w:pPr>
    </w:p>
    <w:p w14:paraId="39EA5921" w14:textId="77777777" w:rsidR="007937E9" w:rsidRDefault="00000000">
      <w:pPr>
        <w:jc w:val="center"/>
        <w:rPr>
          <w:rFonts w:hint="eastAsia"/>
        </w:rPr>
      </w:pPr>
      <w:r>
        <w:t>São Paulo</w:t>
      </w:r>
      <w:r>
        <w:br/>
        <w:t>2026</w:t>
      </w:r>
    </w:p>
    <w:p w14:paraId="6E6A2C70" w14:textId="77777777" w:rsidR="007937E9" w:rsidRDefault="00000000">
      <w:pPr>
        <w:rPr>
          <w:rFonts w:hint="eastAsia"/>
        </w:rPr>
      </w:pPr>
      <w:r>
        <w:br w:type="page"/>
      </w:r>
    </w:p>
    <w:p w14:paraId="7A37C2A4" w14:textId="77777777" w:rsidR="007937E9" w:rsidRDefault="007937E9">
      <w:pPr>
        <w:rPr>
          <w:rFonts w:hint="eastAsia"/>
        </w:rPr>
      </w:pPr>
    </w:p>
    <w:p w14:paraId="4832F474" w14:textId="77777777" w:rsidR="007937E9" w:rsidRDefault="007937E9">
      <w:pPr>
        <w:rPr>
          <w:rFonts w:hint="eastAsia"/>
        </w:rPr>
      </w:pPr>
    </w:p>
    <w:p w14:paraId="65D8EF1D" w14:textId="77777777" w:rsidR="007937E9" w:rsidRDefault="00000000">
      <w:pPr>
        <w:jc w:val="center"/>
        <w:rPr>
          <w:rFonts w:hint="eastAsia"/>
        </w:rPr>
      </w:pPr>
      <w:r>
        <w:rPr>
          <w:b/>
        </w:rPr>
        <w:t>BRENO TOSTES DE GOMES GARCIA</w:t>
      </w:r>
    </w:p>
    <w:p w14:paraId="4E5A17BB" w14:textId="77777777" w:rsidR="007937E9" w:rsidRDefault="007937E9">
      <w:pPr>
        <w:rPr>
          <w:rFonts w:hint="eastAsia"/>
        </w:rPr>
      </w:pPr>
    </w:p>
    <w:p w14:paraId="714D45DC" w14:textId="77777777" w:rsidR="007937E9" w:rsidRDefault="007937E9">
      <w:pPr>
        <w:rPr>
          <w:rFonts w:hint="eastAsia"/>
        </w:rPr>
      </w:pPr>
    </w:p>
    <w:p w14:paraId="3C7DFC76" w14:textId="77777777" w:rsidR="007937E9" w:rsidRDefault="007937E9">
      <w:pPr>
        <w:rPr>
          <w:rFonts w:hint="eastAsia"/>
        </w:rPr>
      </w:pPr>
    </w:p>
    <w:p w14:paraId="484B184D" w14:textId="77777777" w:rsidR="007937E9" w:rsidRDefault="007937E9">
      <w:pPr>
        <w:rPr>
          <w:rFonts w:hint="eastAsia"/>
        </w:rPr>
      </w:pPr>
    </w:p>
    <w:p w14:paraId="03F02F39" w14:textId="77777777" w:rsidR="007937E9" w:rsidRDefault="00000000">
      <w:pPr>
        <w:jc w:val="center"/>
        <w:rPr>
          <w:rFonts w:hint="eastAsia"/>
        </w:rPr>
      </w:pPr>
      <w:r>
        <w:rPr>
          <w:b/>
          <w:sz w:val="30"/>
        </w:rPr>
        <w:t>RELATÓRIO TÉCNICO</w:t>
      </w:r>
      <w:r>
        <w:rPr>
          <w:b/>
          <w:sz w:val="30"/>
        </w:rPr>
        <w:br/>
        <w:t>ATIVIDADE 3 - INGESTÃO E ETL COM PYTHON + SPARK</w:t>
      </w:r>
    </w:p>
    <w:p w14:paraId="30504ABD" w14:textId="77777777" w:rsidR="007937E9" w:rsidRDefault="007937E9">
      <w:pPr>
        <w:rPr>
          <w:rFonts w:hint="eastAsia"/>
        </w:rPr>
      </w:pPr>
    </w:p>
    <w:p w14:paraId="135014DF" w14:textId="77777777" w:rsidR="007937E9" w:rsidRDefault="007937E9">
      <w:pPr>
        <w:rPr>
          <w:rFonts w:hint="eastAsia"/>
        </w:rPr>
      </w:pPr>
    </w:p>
    <w:p w14:paraId="023D6B2F" w14:textId="77777777" w:rsidR="007937E9" w:rsidRDefault="007937E9">
      <w:pPr>
        <w:rPr>
          <w:rFonts w:hint="eastAsia"/>
        </w:rPr>
      </w:pPr>
    </w:p>
    <w:p w14:paraId="09459815" w14:textId="77777777" w:rsidR="007937E9" w:rsidRDefault="007937E9">
      <w:pPr>
        <w:rPr>
          <w:rFonts w:hint="eastAsia"/>
        </w:rPr>
      </w:pPr>
    </w:p>
    <w:p w14:paraId="4DE82556" w14:textId="77777777" w:rsidR="007937E9" w:rsidRDefault="00000000">
      <w:pPr>
        <w:spacing w:line="276" w:lineRule="auto"/>
        <w:ind w:left="4252"/>
        <w:jc w:val="both"/>
        <w:rPr>
          <w:rFonts w:hint="eastAsia"/>
        </w:rPr>
      </w:pPr>
      <w:r>
        <w:rPr>
          <w:sz w:val="22"/>
        </w:rPr>
        <w:t>Relatório técnico apresentado à disciplina de Ingestão de Dados e Pipeline, do Programa de Educação Continuada da Escola Politécnica da Universidade de São Paulo (PECE/Poli/USP), como registro da execução da Atividade 3, dedicada à ingestão, transformação, integração e disponibilização de dados com Python e Apache Spark.</w:t>
      </w:r>
    </w:p>
    <w:p w14:paraId="5DED3E8E" w14:textId="77777777" w:rsidR="007937E9" w:rsidRDefault="007937E9">
      <w:pPr>
        <w:rPr>
          <w:rFonts w:hint="eastAsia"/>
        </w:rPr>
      </w:pPr>
    </w:p>
    <w:p w14:paraId="7185B4D6" w14:textId="77777777" w:rsidR="007937E9" w:rsidRDefault="007937E9">
      <w:pPr>
        <w:rPr>
          <w:rFonts w:hint="eastAsia"/>
        </w:rPr>
      </w:pPr>
    </w:p>
    <w:p w14:paraId="31775B1F" w14:textId="77777777" w:rsidR="007937E9" w:rsidRDefault="007937E9">
      <w:pPr>
        <w:rPr>
          <w:rFonts w:hint="eastAsia"/>
        </w:rPr>
      </w:pPr>
    </w:p>
    <w:p w14:paraId="4AEF84F6" w14:textId="77777777" w:rsidR="007937E9" w:rsidRDefault="007937E9">
      <w:pPr>
        <w:rPr>
          <w:rFonts w:hint="eastAsia"/>
        </w:rPr>
      </w:pPr>
    </w:p>
    <w:p w14:paraId="61CC9CE5" w14:textId="77777777" w:rsidR="007937E9" w:rsidRDefault="007937E9">
      <w:pPr>
        <w:rPr>
          <w:rFonts w:hint="eastAsia"/>
        </w:rPr>
      </w:pPr>
    </w:p>
    <w:p w14:paraId="01ABDAA2" w14:textId="77777777" w:rsidR="007937E9" w:rsidRDefault="00000000">
      <w:pPr>
        <w:jc w:val="center"/>
        <w:rPr>
          <w:rFonts w:hint="eastAsia"/>
        </w:rPr>
      </w:pPr>
      <w:r>
        <w:t>São Paulo</w:t>
      </w:r>
      <w:r>
        <w:br/>
        <w:t>2026</w:t>
      </w:r>
    </w:p>
    <w:p w14:paraId="38EF195F" w14:textId="77777777" w:rsidR="007937E9" w:rsidRDefault="00000000">
      <w:pPr>
        <w:rPr>
          <w:rFonts w:hint="eastAsia"/>
        </w:rPr>
      </w:pPr>
      <w:r>
        <w:br w:type="page"/>
      </w:r>
    </w:p>
    <w:p w14:paraId="47AD24E9" w14:textId="77777777" w:rsidR="007937E9" w:rsidRDefault="00000000">
      <w:pPr>
        <w:jc w:val="center"/>
        <w:rPr>
          <w:rFonts w:hint="eastAsia"/>
        </w:rPr>
      </w:pPr>
      <w:r>
        <w:rPr>
          <w:b/>
          <w:sz w:val="28"/>
        </w:rPr>
        <w:lastRenderedPageBreak/>
        <w:t>RESUMO</w:t>
      </w:r>
    </w:p>
    <w:p w14:paraId="586DCF7E" w14:textId="77777777" w:rsidR="007937E9" w:rsidRDefault="00000000">
      <w:pPr>
        <w:ind w:firstLine="709"/>
        <w:jc w:val="both"/>
        <w:rPr>
          <w:rFonts w:hint="eastAsia"/>
        </w:rPr>
      </w:pPr>
      <w:r>
        <w:t>Este relatório apresenta a versão compatibilizada do desenvolvimento da Atividade 3 da disciplina de Ingestão de Dados e Pipeline, cujo objetivo foi implementar, com Python e Apache Spark, um processo de ingestão, tratamento, integração e disponibilização de dados segundo as camadas RAW, Trusted e Delivery. O conjunto de entrada foi formado por sete arquivos trimestrais de reclamações, uma base de Enquadramento de instituições financeiras e duas bases de associação com dados do Glassdoor. A versão final do pipeline foi executada em ambiente Docker, com Apache Spark 4.1.3 e PostgreSQL 17, mantendo o Spark como mecanismo exclusivo de transformação dos dados.</w:t>
      </w:r>
    </w:p>
    <w:p w14:paraId="07BDEE3E" w14:textId="77777777" w:rsidR="007937E9" w:rsidRDefault="00000000">
      <w:pPr>
        <w:ind w:firstLine="709"/>
        <w:jc w:val="both"/>
        <w:rPr>
          <w:rFonts w:hint="eastAsia"/>
        </w:rPr>
      </w:pPr>
      <w:r>
        <w:t>A metodologia combinou inspeção dos arquivos, verificação de integridade, preservação da fonte na RAW, tipagem e normalização na Trusted, diagnóstico de chaves, canonicalização das dimensões e construção da Delivery em dois ramos de integração: registros com CNPJ foram associados ao Enquadramento; registros sem CNPJ, todos classificados como Conglomerado, foram associados ao Glassdoor por nome normalizado. A base Glassdoor Match Less foi mantida na Trusted, mas excluída do enriquecimento automático por critério conservador de qualidade semântica.</w:t>
      </w:r>
    </w:p>
    <w:p w14:paraId="1C696F5B" w14:textId="77777777" w:rsidR="007937E9" w:rsidRDefault="00000000">
      <w:pPr>
        <w:ind w:firstLine="709"/>
        <w:jc w:val="both"/>
        <w:rPr>
          <w:rFonts w:hint="eastAsia"/>
        </w:rPr>
      </w:pPr>
      <w:r>
        <w:t>O pipeline processou 2.431 registros nas camadas RAW e Trusted e produziu uma Delivery com 918 registros e 47 colunas, persistida em Parquet e na tabela public.delivery_reclamacoes_enriquecidas do PostgreSQL. Foram enriquecidas 321 linhas com informações de Enquadramento e 113 linhas com Glassdoor, totalizando 434 registros enriquecidos, equivalentes a 47,28% da Delivery. A validação final confirmou cardinalidade, schema e persistência, além de documentar como limitação da fonte a existência de 3.109 sequências UTF-8 EF BF BD no arquivo de Enquadramento, correspondentes ao caractere U+FFFD previamente gravado na origem.</w:t>
      </w:r>
    </w:p>
    <w:p w14:paraId="13E1BDB1" w14:textId="77777777" w:rsidR="007937E9" w:rsidRDefault="00000000">
      <w:pPr>
        <w:spacing w:before="200"/>
        <w:rPr>
          <w:rFonts w:hint="eastAsia"/>
        </w:rPr>
      </w:pPr>
      <w:r>
        <w:rPr>
          <w:b/>
        </w:rPr>
        <w:t xml:space="preserve">Palavras-chave: </w:t>
      </w:r>
      <w:r>
        <w:t>Apache Spark; PySpark; ETL; ingestão de dados; Parquet; PostgreSQL; Docker; engenharia de dados; qualidade de dados.</w:t>
      </w:r>
    </w:p>
    <w:p w14:paraId="5636FBA7" w14:textId="77777777" w:rsidR="007937E9" w:rsidRDefault="00000000">
      <w:pPr>
        <w:rPr>
          <w:rFonts w:hint="eastAsia"/>
        </w:rPr>
      </w:pPr>
      <w:r>
        <w:br w:type="page"/>
      </w:r>
    </w:p>
    <w:p w14:paraId="16611308" w14:textId="77777777" w:rsidR="007937E9" w:rsidRDefault="00000000">
      <w:pPr>
        <w:jc w:val="center"/>
        <w:rPr>
          <w:rFonts w:hint="eastAsia"/>
        </w:rPr>
      </w:pPr>
      <w:r>
        <w:rPr>
          <w:b/>
          <w:sz w:val="28"/>
        </w:rPr>
        <w:lastRenderedPageBreak/>
        <w:t>SUMÁRIO</w:t>
      </w:r>
    </w:p>
    <w:p w14:paraId="2523D9D2" w14:textId="77777777" w:rsidR="007937E9" w:rsidRDefault="00000000">
      <w:pPr>
        <w:tabs>
          <w:tab w:val="right" w:leader="dot" w:pos="8617"/>
        </w:tabs>
        <w:spacing w:after="20" w:line="240" w:lineRule="auto"/>
        <w:rPr>
          <w:rFonts w:hint="eastAsia"/>
        </w:rPr>
      </w:pPr>
      <w:r>
        <w:rPr>
          <w:b/>
          <w:sz w:val="21"/>
        </w:rPr>
        <w:t>1 INTRODUÇÃO</w:t>
      </w:r>
      <w:r>
        <w:rPr>
          <w:b/>
          <w:sz w:val="21"/>
        </w:rPr>
        <w:tab/>
        <w:t>5</w:t>
      </w:r>
    </w:p>
    <w:p w14:paraId="6B6824CE" w14:textId="77777777" w:rsidR="007937E9" w:rsidRDefault="00000000">
      <w:pPr>
        <w:tabs>
          <w:tab w:val="right" w:leader="dot" w:pos="8617"/>
        </w:tabs>
        <w:spacing w:after="20" w:line="240" w:lineRule="auto"/>
        <w:rPr>
          <w:rFonts w:hint="eastAsia"/>
        </w:rPr>
      </w:pPr>
      <w:r>
        <w:rPr>
          <w:b/>
          <w:sz w:val="21"/>
        </w:rPr>
        <w:t>2 METODOLOGIA</w:t>
      </w:r>
      <w:r>
        <w:rPr>
          <w:b/>
          <w:sz w:val="21"/>
        </w:rPr>
        <w:tab/>
        <w:t>6</w:t>
      </w:r>
    </w:p>
    <w:p w14:paraId="1558D2AC" w14:textId="77777777" w:rsidR="007937E9" w:rsidRDefault="00000000">
      <w:pPr>
        <w:tabs>
          <w:tab w:val="right" w:leader="dot" w:pos="8617"/>
        </w:tabs>
        <w:spacing w:after="20" w:line="240" w:lineRule="auto"/>
        <w:ind w:left="340"/>
        <w:rPr>
          <w:rFonts w:hint="eastAsia"/>
        </w:rPr>
      </w:pPr>
      <w:r>
        <w:rPr>
          <w:sz w:val="21"/>
        </w:rPr>
        <w:t>2.1 Ambiente computacional e organização do projeto</w:t>
      </w:r>
      <w:r>
        <w:rPr>
          <w:sz w:val="21"/>
        </w:rPr>
        <w:tab/>
        <w:t>6</w:t>
      </w:r>
    </w:p>
    <w:p w14:paraId="0B96D040" w14:textId="77777777" w:rsidR="007937E9" w:rsidRDefault="00000000">
      <w:pPr>
        <w:tabs>
          <w:tab w:val="right" w:leader="dot" w:pos="8617"/>
        </w:tabs>
        <w:spacing w:after="20" w:line="240" w:lineRule="auto"/>
        <w:ind w:left="340"/>
        <w:rPr>
          <w:rFonts w:hint="eastAsia"/>
        </w:rPr>
      </w:pPr>
      <w:r>
        <w:rPr>
          <w:sz w:val="21"/>
        </w:rPr>
        <w:t>2.2 Bases de dados e controle de integridade</w:t>
      </w:r>
      <w:r>
        <w:rPr>
          <w:sz w:val="21"/>
        </w:rPr>
        <w:tab/>
        <w:t>7</w:t>
      </w:r>
    </w:p>
    <w:p w14:paraId="33BFF0D5" w14:textId="77777777" w:rsidR="007937E9" w:rsidRDefault="00000000">
      <w:pPr>
        <w:tabs>
          <w:tab w:val="right" w:leader="dot" w:pos="8617"/>
        </w:tabs>
        <w:spacing w:after="20" w:line="240" w:lineRule="auto"/>
        <w:ind w:left="340"/>
        <w:rPr>
          <w:rFonts w:hint="eastAsia"/>
        </w:rPr>
      </w:pPr>
      <w:r>
        <w:rPr>
          <w:sz w:val="21"/>
        </w:rPr>
        <w:t>2.3 Ingestão e camada RAW</w:t>
      </w:r>
      <w:r>
        <w:rPr>
          <w:sz w:val="21"/>
        </w:rPr>
        <w:tab/>
        <w:t>8</w:t>
      </w:r>
    </w:p>
    <w:p w14:paraId="6586DD17" w14:textId="77777777" w:rsidR="007937E9" w:rsidRDefault="00000000">
      <w:pPr>
        <w:tabs>
          <w:tab w:val="right" w:leader="dot" w:pos="8617"/>
        </w:tabs>
        <w:spacing w:after="20" w:line="240" w:lineRule="auto"/>
        <w:ind w:left="340"/>
        <w:rPr>
          <w:rFonts w:hint="eastAsia"/>
        </w:rPr>
      </w:pPr>
      <w:r>
        <w:rPr>
          <w:sz w:val="21"/>
        </w:rPr>
        <w:t>2.4 Tratamento da camada Trusted</w:t>
      </w:r>
      <w:r>
        <w:rPr>
          <w:sz w:val="21"/>
        </w:rPr>
        <w:tab/>
        <w:t>9</w:t>
      </w:r>
    </w:p>
    <w:p w14:paraId="01DCA0AA" w14:textId="77777777" w:rsidR="007937E9" w:rsidRDefault="00000000">
      <w:pPr>
        <w:tabs>
          <w:tab w:val="right" w:leader="dot" w:pos="8617"/>
        </w:tabs>
        <w:spacing w:after="20" w:line="240" w:lineRule="auto"/>
        <w:ind w:left="340"/>
        <w:rPr>
          <w:rFonts w:hint="eastAsia"/>
        </w:rPr>
      </w:pPr>
      <w:r>
        <w:rPr>
          <w:sz w:val="21"/>
        </w:rPr>
        <w:t>2.5 Diagnóstico de chaves e canonicalização</w:t>
      </w:r>
      <w:r>
        <w:rPr>
          <w:sz w:val="21"/>
        </w:rPr>
        <w:tab/>
        <w:t>10</w:t>
      </w:r>
    </w:p>
    <w:p w14:paraId="080C3D0E" w14:textId="77777777" w:rsidR="007937E9" w:rsidRDefault="00000000">
      <w:pPr>
        <w:tabs>
          <w:tab w:val="right" w:leader="dot" w:pos="8617"/>
        </w:tabs>
        <w:spacing w:after="20" w:line="240" w:lineRule="auto"/>
        <w:ind w:left="340"/>
        <w:rPr>
          <w:rFonts w:hint="eastAsia"/>
        </w:rPr>
      </w:pPr>
      <w:r>
        <w:rPr>
          <w:sz w:val="21"/>
        </w:rPr>
        <w:t>2.6 Construção da Delivery</w:t>
      </w:r>
      <w:r>
        <w:rPr>
          <w:sz w:val="21"/>
        </w:rPr>
        <w:tab/>
        <w:t>12</w:t>
      </w:r>
    </w:p>
    <w:p w14:paraId="588EE467" w14:textId="77777777" w:rsidR="007937E9" w:rsidRDefault="00000000">
      <w:pPr>
        <w:tabs>
          <w:tab w:val="right" w:leader="dot" w:pos="8617"/>
        </w:tabs>
        <w:spacing w:after="20" w:line="240" w:lineRule="auto"/>
        <w:ind w:left="340"/>
        <w:rPr>
          <w:rFonts w:hint="eastAsia"/>
        </w:rPr>
      </w:pPr>
      <w:r>
        <w:rPr>
          <w:sz w:val="21"/>
        </w:rPr>
        <w:t>2.7 Investigação da qualidade de caracteres</w:t>
      </w:r>
      <w:r>
        <w:rPr>
          <w:sz w:val="21"/>
        </w:rPr>
        <w:tab/>
        <w:t>12</w:t>
      </w:r>
    </w:p>
    <w:p w14:paraId="7CDD3B97" w14:textId="77777777" w:rsidR="007937E9" w:rsidRDefault="00000000">
      <w:pPr>
        <w:tabs>
          <w:tab w:val="right" w:leader="dot" w:pos="8617"/>
        </w:tabs>
        <w:spacing w:after="20" w:line="240" w:lineRule="auto"/>
        <w:ind w:left="340"/>
        <w:rPr>
          <w:rFonts w:hint="eastAsia"/>
        </w:rPr>
      </w:pPr>
      <w:r>
        <w:rPr>
          <w:sz w:val="21"/>
        </w:rPr>
        <w:t>2.8 Carga no PostgreSQL e validação independente</w:t>
      </w:r>
      <w:r>
        <w:rPr>
          <w:sz w:val="21"/>
        </w:rPr>
        <w:tab/>
        <w:t>13</w:t>
      </w:r>
    </w:p>
    <w:p w14:paraId="4E440E42" w14:textId="77777777" w:rsidR="007937E9" w:rsidRDefault="00000000">
      <w:pPr>
        <w:tabs>
          <w:tab w:val="right" w:leader="dot" w:pos="8617"/>
        </w:tabs>
        <w:spacing w:after="20" w:line="240" w:lineRule="auto"/>
        <w:ind w:left="340"/>
        <w:rPr>
          <w:rFonts w:hint="eastAsia"/>
        </w:rPr>
      </w:pPr>
      <w:r>
        <w:rPr>
          <w:sz w:val="21"/>
        </w:rPr>
        <w:t>2.9 Reprodutibilidade e organização das evidências</w:t>
      </w:r>
      <w:r>
        <w:rPr>
          <w:sz w:val="21"/>
        </w:rPr>
        <w:tab/>
        <w:t>14</w:t>
      </w:r>
    </w:p>
    <w:p w14:paraId="23E3E44D" w14:textId="77777777" w:rsidR="007937E9" w:rsidRDefault="00000000">
      <w:pPr>
        <w:tabs>
          <w:tab w:val="right" w:leader="dot" w:pos="8617"/>
        </w:tabs>
        <w:spacing w:after="20" w:line="240" w:lineRule="auto"/>
        <w:rPr>
          <w:rFonts w:hint="eastAsia"/>
        </w:rPr>
      </w:pPr>
      <w:r>
        <w:rPr>
          <w:b/>
          <w:sz w:val="21"/>
        </w:rPr>
        <w:t>3 ANÁLISE DOS RESULTADOS</w:t>
      </w:r>
      <w:r>
        <w:rPr>
          <w:b/>
          <w:sz w:val="21"/>
        </w:rPr>
        <w:tab/>
        <w:t>14</w:t>
      </w:r>
    </w:p>
    <w:p w14:paraId="78BA2E25" w14:textId="77777777" w:rsidR="007937E9" w:rsidRDefault="00000000">
      <w:pPr>
        <w:tabs>
          <w:tab w:val="right" w:leader="dot" w:pos="8617"/>
        </w:tabs>
        <w:spacing w:after="20" w:line="240" w:lineRule="auto"/>
        <w:ind w:left="340"/>
        <w:rPr>
          <w:rFonts w:hint="eastAsia"/>
        </w:rPr>
      </w:pPr>
      <w:r>
        <w:rPr>
          <w:sz w:val="21"/>
        </w:rPr>
        <w:t>3.1 Integridade e preservação dos registros</w:t>
      </w:r>
      <w:r>
        <w:rPr>
          <w:sz w:val="21"/>
        </w:rPr>
        <w:tab/>
        <w:t>14</w:t>
      </w:r>
    </w:p>
    <w:p w14:paraId="198928EC" w14:textId="77777777" w:rsidR="007937E9" w:rsidRDefault="00000000">
      <w:pPr>
        <w:tabs>
          <w:tab w:val="right" w:leader="dot" w:pos="8617"/>
        </w:tabs>
        <w:spacing w:after="20" w:line="240" w:lineRule="auto"/>
        <w:ind w:left="340"/>
        <w:rPr>
          <w:rFonts w:hint="eastAsia"/>
        </w:rPr>
      </w:pPr>
      <w:r>
        <w:rPr>
          <w:sz w:val="21"/>
        </w:rPr>
        <w:t>3.2 Qualidade das chaves e efetividade do enriquecimento</w:t>
      </w:r>
      <w:r>
        <w:rPr>
          <w:sz w:val="21"/>
        </w:rPr>
        <w:tab/>
        <w:t>15</w:t>
      </w:r>
    </w:p>
    <w:p w14:paraId="3DF3935E" w14:textId="77777777" w:rsidR="007937E9" w:rsidRDefault="00000000">
      <w:pPr>
        <w:tabs>
          <w:tab w:val="right" w:leader="dot" w:pos="8617"/>
        </w:tabs>
        <w:spacing w:after="20" w:line="240" w:lineRule="auto"/>
        <w:ind w:left="340"/>
        <w:rPr>
          <w:rFonts w:hint="eastAsia"/>
        </w:rPr>
      </w:pPr>
      <w:r>
        <w:rPr>
          <w:sz w:val="21"/>
        </w:rPr>
        <w:t>3.3 Avaliação das dificuldades e das decisões técnicas</w:t>
      </w:r>
      <w:r>
        <w:rPr>
          <w:sz w:val="21"/>
        </w:rPr>
        <w:tab/>
        <w:t>17</w:t>
      </w:r>
    </w:p>
    <w:p w14:paraId="44694860" w14:textId="77777777" w:rsidR="007937E9" w:rsidRDefault="00000000">
      <w:pPr>
        <w:tabs>
          <w:tab w:val="right" w:leader="dot" w:pos="8617"/>
        </w:tabs>
        <w:spacing w:after="20" w:line="240" w:lineRule="auto"/>
        <w:ind w:left="340"/>
        <w:rPr>
          <w:rFonts w:hint="eastAsia"/>
        </w:rPr>
      </w:pPr>
      <w:r>
        <w:rPr>
          <w:sz w:val="21"/>
        </w:rPr>
        <w:t>3.4 Validação consolidada, reprodutibilidade e auditabilidade</w:t>
      </w:r>
      <w:r>
        <w:rPr>
          <w:sz w:val="21"/>
        </w:rPr>
        <w:tab/>
        <w:t>18</w:t>
      </w:r>
    </w:p>
    <w:p w14:paraId="160A72CE" w14:textId="77777777" w:rsidR="007937E9" w:rsidRDefault="00000000">
      <w:pPr>
        <w:tabs>
          <w:tab w:val="right" w:leader="dot" w:pos="8617"/>
        </w:tabs>
        <w:spacing w:after="20" w:line="240" w:lineRule="auto"/>
        <w:rPr>
          <w:rFonts w:hint="eastAsia"/>
        </w:rPr>
      </w:pPr>
      <w:r>
        <w:rPr>
          <w:b/>
          <w:sz w:val="21"/>
        </w:rPr>
        <w:t>4 CONCLUSÃO</w:t>
      </w:r>
      <w:r>
        <w:rPr>
          <w:b/>
          <w:sz w:val="21"/>
        </w:rPr>
        <w:tab/>
        <w:t>18</w:t>
      </w:r>
    </w:p>
    <w:p w14:paraId="29E2F9D7" w14:textId="77777777" w:rsidR="007937E9" w:rsidRDefault="00000000">
      <w:pPr>
        <w:tabs>
          <w:tab w:val="right" w:leader="dot" w:pos="8617"/>
        </w:tabs>
        <w:spacing w:after="20" w:line="240" w:lineRule="auto"/>
        <w:rPr>
          <w:rFonts w:hint="eastAsia"/>
        </w:rPr>
      </w:pPr>
      <w:r>
        <w:rPr>
          <w:b/>
          <w:sz w:val="21"/>
        </w:rPr>
        <w:t>5 REFERÊNCIAS</w:t>
      </w:r>
      <w:r>
        <w:rPr>
          <w:b/>
          <w:sz w:val="21"/>
        </w:rPr>
        <w:tab/>
        <w:t>19</w:t>
      </w:r>
    </w:p>
    <w:p w14:paraId="03977F02" w14:textId="77777777" w:rsidR="007937E9" w:rsidRDefault="00000000">
      <w:pPr>
        <w:tabs>
          <w:tab w:val="right" w:leader="dot" w:pos="8617"/>
        </w:tabs>
        <w:spacing w:after="20" w:line="240" w:lineRule="auto"/>
        <w:rPr>
          <w:rFonts w:hint="eastAsia"/>
        </w:rPr>
      </w:pPr>
      <w:r>
        <w:rPr>
          <w:b/>
          <w:sz w:val="21"/>
        </w:rPr>
        <w:t>APÊNDICE A - INVENTÁRIO DOS SCRIPTS E RASTREABILIDADE</w:t>
      </w:r>
      <w:r>
        <w:rPr>
          <w:b/>
          <w:sz w:val="21"/>
        </w:rPr>
        <w:tab/>
        <w:t>19</w:t>
      </w:r>
    </w:p>
    <w:p w14:paraId="65F0114B" w14:textId="77777777" w:rsidR="007937E9" w:rsidRDefault="00000000">
      <w:pPr>
        <w:tabs>
          <w:tab w:val="right" w:leader="dot" w:pos="8617"/>
        </w:tabs>
        <w:spacing w:after="20" w:line="240" w:lineRule="auto"/>
        <w:rPr>
          <w:rFonts w:hint="eastAsia"/>
        </w:rPr>
      </w:pPr>
      <w:r>
        <w:rPr>
          <w:b/>
          <w:sz w:val="21"/>
        </w:rPr>
        <w:t>APÊNDICE B - TRECHOS DOS CÓDIGOS UTILIZADOS</w:t>
      </w:r>
      <w:r>
        <w:rPr>
          <w:b/>
          <w:sz w:val="21"/>
        </w:rPr>
        <w:tab/>
        <w:t>20</w:t>
      </w:r>
    </w:p>
    <w:p w14:paraId="45D45279" w14:textId="77777777" w:rsidR="007937E9" w:rsidRDefault="00000000">
      <w:pPr>
        <w:tabs>
          <w:tab w:val="right" w:leader="dot" w:pos="8617"/>
        </w:tabs>
        <w:spacing w:after="20" w:line="240" w:lineRule="auto"/>
        <w:rPr>
          <w:rFonts w:hint="eastAsia"/>
        </w:rPr>
      </w:pPr>
      <w:r>
        <w:rPr>
          <w:b/>
          <w:sz w:val="21"/>
        </w:rPr>
        <w:t>APÊNDICE C - RELAÇÃO DAS EVIDÊNCIAS TÉCNICAS</w:t>
      </w:r>
      <w:r>
        <w:rPr>
          <w:b/>
          <w:sz w:val="21"/>
        </w:rPr>
        <w:tab/>
        <w:t>22</w:t>
      </w:r>
    </w:p>
    <w:p w14:paraId="7D6CB8D4" w14:textId="77777777" w:rsidR="007937E9" w:rsidRDefault="00000000">
      <w:pPr>
        <w:rPr>
          <w:rFonts w:hint="eastAsia"/>
        </w:rPr>
      </w:pPr>
      <w:r>
        <w:br w:type="page"/>
      </w:r>
    </w:p>
    <w:p w14:paraId="4EFBAB27" w14:textId="77777777" w:rsidR="007937E9" w:rsidRDefault="007937E9">
      <w:pPr>
        <w:rPr>
          <w:rFonts w:hint="eastAsia"/>
        </w:rPr>
        <w:sectPr w:rsidR="007937E9"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</w:p>
    <w:p w14:paraId="27E1E70A" w14:textId="77777777" w:rsidR="007937E9" w:rsidRDefault="00000000">
      <w:pPr>
        <w:pStyle w:val="Ttulo1"/>
        <w:spacing w:before="240" w:after="120"/>
      </w:pPr>
      <w:r>
        <w:rPr>
          <w:rFonts w:ascii="Liberation Serif" w:hAnsi="Liberation Serif"/>
        </w:rPr>
        <w:lastRenderedPageBreak/>
        <w:t>1 INTRODUÇÃO</w:t>
      </w:r>
    </w:p>
    <w:p w14:paraId="20692561" w14:textId="77777777" w:rsidR="007937E9" w:rsidRDefault="00000000">
      <w:pPr>
        <w:ind w:firstLine="709"/>
        <w:jc w:val="both"/>
        <w:rPr>
          <w:rFonts w:hint="eastAsia"/>
        </w:rPr>
      </w:pPr>
      <w:r>
        <w:t>A Atividade 3 propõe a implementação de um fluxo completo de ingestão e ETL por meio de Python associado ao Apache Spark. Conforme a orientação da disciplina, todo o processo de ingestão e tratamento deve ser realizado via Spark, o tratamento não deve ser executado por SQL, todas as bases devem ser ingeridas e integradas, e a solução deve implementar as camadas RAW, Trusted e Delivery. A camada Delivery deve estar disponível em formato analítico e, obrigatoriamente, também como tabela final em um banco de dados relacional open source. Para este trabalho foi adotado o PostgreSQL.</w:t>
      </w:r>
    </w:p>
    <w:p w14:paraId="7CCBBD4C" w14:textId="77777777" w:rsidR="007937E9" w:rsidRDefault="00000000">
      <w:pPr>
        <w:ind w:firstLine="709"/>
        <w:jc w:val="both"/>
        <w:rPr>
          <w:rFonts w:hint="eastAsia"/>
        </w:rPr>
      </w:pPr>
      <w:r>
        <w:t>A importância da atividade no processo de aprendizagem decorre da necessidade de articular competências técnicas que, em conjunto, caracterizam um pipeline de engenharia de dados: leitura de fontes heterogêneas, diagnóstico de delimitadores e codificações, modelagem em camadas, tratamento de tipos, normalização de chaves, controle de cardinalidade, persistência em formato colunar e interoperabilidade com banco relacional. O uso do Spark acrescenta o entendimento da API de DataFrames, do modelo de avaliação lazy e da necessidade de validar transformações por ações concretas de leitura, contagem e escrita.</w:t>
      </w:r>
    </w:p>
    <w:p w14:paraId="2F29FC41" w14:textId="77777777" w:rsidR="007937E9" w:rsidRDefault="00000000">
      <w:pPr>
        <w:ind w:firstLine="709"/>
        <w:jc w:val="both"/>
        <w:rPr>
          <w:rFonts w:hint="eastAsia"/>
        </w:rPr>
      </w:pPr>
      <w:r>
        <w:t>O desenvolvimento foi conduzido de forma incremental e orientada por evidências. Os testes iniciais no Windows evidenciaram problemas de compatibilidade para a execução local do Spark. Testes no WSL2 confirmaram o funcionamento do Spark, e a implementação final foi consolidada em Docker Compose, utilizando imagem oficial do Apache Spark e contêiner PostgreSQL. Depois da validação do ambiente, os arquivos de entrada foram inventariados, a RAW foi construída, as bases Trusted foram tratadas separadamente, as chaves de integração foram diagnosticadas e somente então a Delivery foi construída e persistida no PostgreSQL.</w:t>
      </w:r>
    </w:p>
    <w:p w14:paraId="78BF15F6" w14:textId="77777777" w:rsidR="007937E9" w:rsidRDefault="00000000">
      <w:pPr>
        <w:ind w:firstLine="709"/>
        <w:jc w:val="both"/>
        <w:rPr>
          <w:rFonts w:hint="eastAsia"/>
        </w:rPr>
      </w:pPr>
      <w:r>
        <w:t>Como síntese dos resultados, a solução final preservou os 918 registros da base principal de reclamações e produziu uma Delivery com 47 atributos. A integração por CNPJ encontrou Enquadramento para 321 linhas, enquanto a integração nominal com Glassdoor encontrou correspondência para 113 linhas. No total, 434 registros receberam algum enriquecimento, equivalentes a 47,28% da Delivery. A tabela final foi validada tanto em Parquet quanto no PostgreSQL, em ambos os casos com 918 registros e 47 colunas.</w:t>
      </w:r>
    </w:p>
    <w:p w14:paraId="55BA8217" w14:textId="77777777" w:rsidR="007937E9" w:rsidRDefault="00000000">
      <w:pPr>
        <w:keepNext/>
        <w:spacing w:before="80" w:after="80"/>
        <w:jc w:val="center"/>
        <w:rPr>
          <w:rFonts w:hint="eastAsia"/>
        </w:rPr>
      </w:pPr>
      <w:r>
        <w:rPr>
          <w:sz w:val="19"/>
        </w:rPr>
        <w:t>Tabela 1 - Requisitos da Atividade 3 e atendimento na solução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361"/>
        <w:gridCol w:w="4535"/>
      </w:tblGrid>
      <w:tr w:rsidR="007937E9" w14:paraId="2FE84C62" w14:textId="77777777">
        <w:trPr>
          <w:jc w:val="center"/>
        </w:trPr>
        <w:tc>
          <w:tcPr>
            <w:tcW w:w="2835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1D92C8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Requisito</w:t>
            </w:r>
          </w:p>
        </w:tc>
        <w:tc>
          <w:tcPr>
            <w:tcW w:w="1361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94E81C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Situação</w:t>
            </w:r>
          </w:p>
        </w:tc>
        <w:tc>
          <w:tcPr>
            <w:tcW w:w="4535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9951E9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Implementação</w:t>
            </w:r>
          </w:p>
        </w:tc>
      </w:tr>
      <w:tr w:rsidR="007937E9" w14:paraId="01DB9E68" w14:textId="77777777">
        <w:trPr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C7254A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Processamento em Python + Spark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EE71FB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Atendido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978BD0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Transformações implementadas com PySpark / DataFrame API.</w:t>
            </w:r>
          </w:p>
        </w:tc>
      </w:tr>
      <w:tr w:rsidR="007937E9" w14:paraId="5EA73D20" w14:textId="77777777">
        <w:trPr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58A836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Tratamento sem SQL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3A14CF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Atendido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3D16F9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SQL utilizado apenas para administração e validação independente.</w:t>
            </w:r>
          </w:p>
        </w:tc>
      </w:tr>
      <w:tr w:rsidR="007937E9" w14:paraId="2A2CA954" w14:textId="77777777">
        <w:trPr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0D954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Banco relacional open source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FE4A26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Atendido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6F7D75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PostgreSQL 17 em contêiner Docker.</w:t>
            </w:r>
          </w:p>
        </w:tc>
      </w:tr>
      <w:tr w:rsidR="007937E9" w14:paraId="2A78C805" w14:textId="77777777">
        <w:trPr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68BB5C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lastRenderedPageBreak/>
              <w:t>Camada RAW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E8629B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Atendido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1BB844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10 conjuntos gravados em Parquet.</w:t>
            </w:r>
          </w:p>
        </w:tc>
      </w:tr>
      <w:tr w:rsidR="007937E9" w14:paraId="64A43E6C" w14:textId="77777777">
        <w:trPr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9E2DF2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Camada Trusted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559DB8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Atendido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90589C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Reclamações, Enquadramento e dois conjuntos Glassdoor em Parquet.</w:t>
            </w:r>
          </w:p>
        </w:tc>
      </w:tr>
      <w:tr w:rsidR="007937E9" w14:paraId="527A0451" w14:textId="77777777">
        <w:trPr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FBA8B4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Camada Delivery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83B158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Atendido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376066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reclamacoes_enriquecidas em Parquet.</w:t>
            </w:r>
          </w:p>
        </w:tc>
      </w:tr>
      <w:tr w:rsidR="007937E9" w14:paraId="522ACABD" w14:textId="77777777">
        <w:trPr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047A68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Delivery também no banco relacional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D8BF98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Atendido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3B25ED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public.delivery_reclamacoes_enriquecidas via JDBC.</w:t>
            </w:r>
          </w:p>
        </w:tc>
      </w:tr>
      <w:tr w:rsidR="007937E9" w14:paraId="515AB3F9" w14:textId="77777777">
        <w:trPr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B0A61A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Tabela final tratada e unificada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E10D6F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Atendido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CD3AEE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918 registros e 47 colunas.</w:t>
            </w:r>
          </w:p>
        </w:tc>
      </w:tr>
    </w:tbl>
    <w:p w14:paraId="1FB72682" w14:textId="77777777" w:rsidR="007937E9" w:rsidRDefault="007937E9">
      <w:pPr>
        <w:rPr>
          <w:rFonts w:hint="eastAsia"/>
        </w:rPr>
      </w:pPr>
    </w:p>
    <w:p w14:paraId="504D14E7" w14:textId="77777777" w:rsidR="007937E9" w:rsidRDefault="00000000">
      <w:pPr>
        <w:pStyle w:val="Ttulo1"/>
        <w:spacing w:before="240" w:after="120"/>
      </w:pPr>
      <w:r>
        <w:rPr>
          <w:rFonts w:ascii="Liberation Serif" w:hAnsi="Liberation Serif"/>
        </w:rPr>
        <w:t>2 METODOLOGIA</w:t>
      </w:r>
    </w:p>
    <w:p w14:paraId="3827CD4A" w14:textId="77777777" w:rsidR="007937E9" w:rsidRDefault="00000000">
      <w:pPr>
        <w:pStyle w:val="Ttulo2"/>
        <w:spacing w:before="180" w:after="120"/>
      </w:pPr>
      <w:r>
        <w:rPr>
          <w:rFonts w:ascii="Liberation Serif" w:hAnsi="Liberation Serif"/>
        </w:rPr>
        <w:t>2.1 Ambiente computacional e organização do projeto</w:t>
      </w:r>
    </w:p>
    <w:p w14:paraId="69FB74E2" w14:textId="77777777" w:rsidR="007937E9" w:rsidRDefault="00000000">
      <w:pPr>
        <w:ind w:firstLine="709"/>
        <w:jc w:val="both"/>
        <w:rPr>
          <w:rFonts w:hint="eastAsia"/>
        </w:rPr>
      </w:pPr>
      <w:r>
        <w:t>A execução foi realizada em computador com Windows 11 e Docker Desktop utilizando backend WSL2. A implementação final adotou dois serviços no Docker Compose: PostgreSQL 17 e Apache Spark 4.1.3 com suporte a Python. O serviço PostgreSQL foi exposto no host pela porta 5433, mapeada para a porta 5432 do contêiner, enquanto o Spark se comunicou com o banco pela rede interna do Compose utilizando o hostname postgres. O banco utilizado foi atividade3 e, no ambiente acadêmico local, foram adotadas credenciais simples postgres/postgres.</w:t>
      </w:r>
    </w:p>
    <w:p w14:paraId="6EBFFC9B" w14:textId="77777777" w:rsidR="007937E9" w:rsidRDefault="00000000">
      <w:pPr>
        <w:ind w:firstLine="709"/>
        <w:jc w:val="both"/>
        <w:rPr>
          <w:rFonts w:hint="eastAsia"/>
        </w:rPr>
      </w:pPr>
      <w:r>
        <w:t>O Spark foi executado em modo local com master local[2], memória de driver de 1 GB e spark.sql.shuffle.partitions igual a 2 nos principais scripts. O PostgreSQL JDBC Driver 42.7.13 foi carregado por meio da opção --packages. Para contornar uma falha de escrita no cache padrão do Ivy, foi configurado spark.jars.ivy=/tmp/.ivy2. Essa configuração tornou o ambiente autocontido e reproduzível, evitando dependência da instalação local de Spark ou de drivers JDBC no Windows.</w:t>
      </w:r>
    </w:p>
    <w:p w14:paraId="564AC5D6" w14:textId="77777777" w:rsidR="007937E9" w:rsidRDefault="00000000">
      <w:pPr>
        <w:ind w:firstLine="709"/>
        <w:jc w:val="both"/>
        <w:rPr>
          <w:rFonts w:hint="eastAsia"/>
        </w:rPr>
      </w:pPr>
      <w:r>
        <w:t>Os primeiros testes de Spark diretamente no Windows apresentaram falhas de inicialização e carregamento de classes. O diagnóstico confirmou que a distribuição possuía os JARs esperados, mas o ambiente local não executava o Spark de forma confiável. A adoção de Linux via WSL2 validou a hipótese de incompatibilidade de ambiente e, posteriormente, a conteinerização foi escolhida como solução final por reduzir a variabilidade entre host, Java, Python e Spark.</w:t>
      </w:r>
    </w:p>
    <w:p w14:paraId="0D948294" w14:textId="77777777" w:rsidR="007937E9" w:rsidRDefault="00000000">
      <w:pPr>
        <w:keepNext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A535810" wp14:editId="3A66127D">
            <wp:extent cx="5760000" cy="15642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tura_pipel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6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22775" w14:textId="77777777" w:rsidR="007937E9" w:rsidRDefault="00000000">
      <w:pPr>
        <w:keepNext/>
        <w:spacing w:before="80" w:after="80"/>
        <w:jc w:val="center"/>
        <w:rPr>
          <w:rFonts w:hint="eastAsia"/>
        </w:rPr>
      </w:pPr>
      <w:r>
        <w:rPr>
          <w:sz w:val="19"/>
        </w:rPr>
        <w:t>Figura 1 - Arquitetura lógica e ambiente final do pipeline</w:t>
      </w:r>
    </w:p>
    <w:p w14:paraId="7190761D" w14:textId="77777777" w:rsidR="007937E9" w:rsidRDefault="00000000">
      <w:pPr>
        <w:keepNext/>
        <w:spacing w:before="80" w:after="80"/>
        <w:jc w:val="center"/>
        <w:rPr>
          <w:rFonts w:hint="eastAsia"/>
        </w:rPr>
      </w:pPr>
      <w:r>
        <w:rPr>
          <w:sz w:val="19"/>
        </w:rPr>
        <w:t>Tabela 2 - Componentes do ambiente final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386"/>
      </w:tblGrid>
      <w:tr w:rsidR="007937E9" w14:paraId="1D8B9F77" w14:textId="77777777">
        <w:trPr>
          <w:jc w:val="center"/>
        </w:trPr>
        <w:tc>
          <w:tcPr>
            <w:tcW w:w="3402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1022BB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w="5386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1144DC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Configuração</w:t>
            </w:r>
          </w:p>
        </w:tc>
      </w:tr>
      <w:tr w:rsidR="007937E9" w14:paraId="395FA5F5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714F28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Sistema hospedeiro</w:t>
            </w:r>
          </w:p>
        </w:tc>
        <w:tc>
          <w:tcPr>
            <w:tcW w:w="538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F66A7A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Windows 11</w:t>
            </w:r>
          </w:p>
        </w:tc>
      </w:tr>
      <w:tr w:rsidR="007937E9" w14:paraId="363DFD45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6E8777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Contêiner Spark</w:t>
            </w:r>
          </w:p>
        </w:tc>
        <w:tc>
          <w:tcPr>
            <w:tcW w:w="538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4FA372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apache/spark:4.1.3-python3</w:t>
            </w:r>
          </w:p>
        </w:tc>
      </w:tr>
      <w:tr w:rsidR="007937E9" w14:paraId="7ACA63F5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2A0408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Apache Spark</w:t>
            </w:r>
          </w:p>
        </w:tc>
        <w:tc>
          <w:tcPr>
            <w:tcW w:w="538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E950B6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4.1.3</w:t>
            </w:r>
          </w:p>
        </w:tc>
      </w:tr>
      <w:tr w:rsidR="007937E9" w14:paraId="63DBDC68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6998ED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Modo de execução</w:t>
            </w:r>
          </w:p>
        </w:tc>
        <w:tc>
          <w:tcPr>
            <w:tcW w:w="538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1C9DBC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local[2] / driver-memory 1g</w:t>
            </w:r>
          </w:p>
        </w:tc>
      </w:tr>
      <w:tr w:rsidR="007937E9" w14:paraId="1A55C603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A37AF2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Contêiner PostgreSQL</w:t>
            </w:r>
          </w:p>
        </w:tc>
        <w:tc>
          <w:tcPr>
            <w:tcW w:w="538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B03E61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postgres:17</w:t>
            </w:r>
          </w:p>
        </w:tc>
      </w:tr>
      <w:tr w:rsidR="007937E9" w14:paraId="7BEBCA18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9A3276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Banco</w:t>
            </w:r>
          </w:p>
        </w:tc>
        <w:tc>
          <w:tcPr>
            <w:tcW w:w="538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8EBCC0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atividade3</w:t>
            </w:r>
          </w:p>
        </w:tc>
      </w:tr>
      <w:tr w:rsidR="007937E9" w14:paraId="110EA2C9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B4EB57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Porta no host</w:t>
            </w:r>
          </w:p>
        </w:tc>
        <w:tc>
          <w:tcPr>
            <w:tcW w:w="538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B51C61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5433 -&gt; 5432</w:t>
            </w:r>
          </w:p>
        </w:tc>
      </w:tr>
      <w:tr w:rsidR="007937E9" w14:paraId="28ACE040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87C212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Driver JDBC</w:t>
            </w:r>
          </w:p>
        </w:tc>
        <w:tc>
          <w:tcPr>
            <w:tcW w:w="538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2D3090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PostgreSQL JDBC 42.7.13</w:t>
            </w:r>
          </w:p>
        </w:tc>
      </w:tr>
      <w:tr w:rsidR="007937E9" w14:paraId="7999D009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23CC39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Formato analítico</w:t>
            </w:r>
          </w:p>
        </w:tc>
        <w:tc>
          <w:tcPr>
            <w:tcW w:w="538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5E596E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Parquet / Snappy</w:t>
            </w:r>
          </w:p>
        </w:tc>
      </w:tr>
    </w:tbl>
    <w:p w14:paraId="1CCEEBDF" w14:textId="77777777" w:rsidR="007937E9" w:rsidRDefault="007937E9">
      <w:pPr>
        <w:rPr>
          <w:rFonts w:hint="eastAsia"/>
        </w:rPr>
      </w:pPr>
    </w:p>
    <w:p w14:paraId="493B9491" w14:textId="77777777" w:rsidR="007937E9" w:rsidRDefault="00000000">
      <w:pPr>
        <w:pStyle w:val="Ttulo2"/>
        <w:spacing w:before="180" w:after="120"/>
      </w:pPr>
      <w:r>
        <w:rPr>
          <w:rFonts w:ascii="Liberation Serif" w:hAnsi="Liberation Serif"/>
        </w:rPr>
        <w:t>2.2 Bases de dados e controle de integridade</w:t>
      </w:r>
    </w:p>
    <w:p w14:paraId="0DBF4E41" w14:textId="77777777" w:rsidR="007937E9" w:rsidRDefault="00000000">
      <w:pPr>
        <w:ind w:firstLine="709"/>
        <w:jc w:val="both"/>
        <w:rPr>
          <w:rFonts w:hint="eastAsia"/>
        </w:rPr>
      </w:pPr>
      <w:r>
        <w:t>O conjunto de dados empregado foi composto por sete arquivos trimestrais de reclamações de instituições financeiras, cobrindo os quatro trimestres de 2021 e o primeiro, terceiro e quarto trimestres de 2022; uma base de Enquadramento com segmento, CNPJ e nome; e duas bases de associação com dados do Glassdoor. O segundo trimestre de 2022 não foi incluído porque não havia dados no conjunto utilizado. Antes da ingestão, foram registrados nomes, tamanhos e hashes SHA-256, e a cópia para a pasta de entrada da Atividade 3 foi validada byte a byte.</w:t>
      </w:r>
    </w:p>
    <w:p w14:paraId="7F29C357" w14:textId="77777777" w:rsidR="007937E9" w:rsidRDefault="00000000">
      <w:pPr>
        <w:keepNext/>
        <w:spacing w:before="80" w:after="80"/>
        <w:jc w:val="center"/>
        <w:rPr>
          <w:rFonts w:hint="eastAsia"/>
        </w:rPr>
      </w:pPr>
      <w:r>
        <w:rPr>
          <w:sz w:val="19"/>
        </w:rPr>
        <w:t>Tabela 3 - Inventário das bases utilizadas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216"/>
        <w:gridCol w:w="2494"/>
        <w:gridCol w:w="1134"/>
      </w:tblGrid>
      <w:tr w:rsidR="007937E9" w14:paraId="0B80176A" w14:textId="77777777">
        <w:trPr>
          <w:jc w:val="center"/>
        </w:trPr>
        <w:tc>
          <w:tcPr>
            <w:tcW w:w="5216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37D57F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Arquivo</w:t>
            </w:r>
          </w:p>
        </w:tc>
        <w:tc>
          <w:tcPr>
            <w:tcW w:w="2494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062A65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Finalidade</w:t>
            </w:r>
          </w:p>
        </w:tc>
        <w:tc>
          <w:tcPr>
            <w:tcW w:w="1134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956CE9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Registros</w:t>
            </w:r>
          </w:p>
        </w:tc>
      </w:tr>
      <w:tr w:rsidR="007937E9" w14:paraId="6114571F" w14:textId="77777777">
        <w:trPr>
          <w:jc w:val="center"/>
        </w:trPr>
        <w:tc>
          <w:tcPr>
            <w:tcW w:w="52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0EFF38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7"/>
              </w:rPr>
              <w:t>2021_tri_01.csv</w:t>
            </w:r>
          </w:p>
        </w:tc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61ECA5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Reclamações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C065F6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105</w:t>
            </w:r>
          </w:p>
        </w:tc>
      </w:tr>
      <w:tr w:rsidR="007937E9" w14:paraId="49CAE4D6" w14:textId="77777777">
        <w:trPr>
          <w:jc w:val="center"/>
        </w:trPr>
        <w:tc>
          <w:tcPr>
            <w:tcW w:w="52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5F2869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7"/>
              </w:rPr>
              <w:t>2021_tri_02.csv</w:t>
            </w:r>
          </w:p>
        </w:tc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9E306B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Reclamações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B43E68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111</w:t>
            </w:r>
          </w:p>
        </w:tc>
      </w:tr>
      <w:tr w:rsidR="007937E9" w14:paraId="267D5BDA" w14:textId="77777777">
        <w:trPr>
          <w:jc w:val="center"/>
        </w:trPr>
        <w:tc>
          <w:tcPr>
            <w:tcW w:w="52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B9C368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7"/>
              </w:rPr>
              <w:t>2021_tri_03.csv</w:t>
            </w:r>
          </w:p>
        </w:tc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8A2234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Reclamações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4F1249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113</w:t>
            </w:r>
          </w:p>
        </w:tc>
      </w:tr>
      <w:tr w:rsidR="007937E9" w14:paraId="69EB52B4" w14:textId="77777777">
        <w:trPr>
          <w:jc w:val="center"/>
        </w:trPr>
        <w:tc>
          <w:tcPr>
            <w:tcW w:w="52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39922A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7"/>
              </w:rPr>
              <w:t>2021_tri_04.csv</w:t>
            </w:r>
          </w:p>
        </w:tc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A9122C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Reclamações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2B15AD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135</w:t>
            </w:r>
          </w:p>
        </w:tc>
      </w:tr>
      <w:tr w:rsidR="007937E9" w14:paraId="5E503611" w14:textId="77777777">
        <w:trPr>
          <w:jc w:val="center"/>
        </w:trPr>
        <w:tc>
          <w:tcPr>
            <w:tcW w:w="52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D0C0D3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7"/>
              </w:rPr>
              <w:t>2022_tri_01.csv</w:t>
            </w:r>
          </w:p>
        </w:tc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8214AC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Reclamações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600943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137</w:t>
            </w:r>
          </w:p>
        </w:tc>
      </w:tr>
      <w:tr w:rsidR="007937E9" w14:paraId="647472EC" w14:textId="77777777">
        <w:trPr>
          <w:jc w:val="center"/>
        </w:trPr>
        <w:tc>
          <w:tcPr>
            <w:tcW w:w="52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370537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7"/>
              </w:rPr>
              <w:t>2022_tri_03.csv</w:t>
            </w:r>
          </w:p>
        </w:tc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CFDD0E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Reclamações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604645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163</w:t>
            </w:r>
          </w:p>
        </w:tc>
      </w:tr>
      <w:tr w:rsidR="007937E9" w14:paraId="6DAB8C80" w14:textId="77777777">
        <w:trPr>
          <w:jc w:val="center"/>
        </w:trPr>
        <w:tc>
          <w:tcPr>
            <w:tcW w:w="52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69A7DE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7"/>
              </w:rPr>
              <w:lastRenderedPageBreak/>
              <w:t>2022_tri_04.csv</w:t>
            </w:r>
          </w:p>
        </w:tc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59CB37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Reclamações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5AF1C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154</w:t>
            </w:r>
          </w:p>
        </w:tc>
      </w:tr>
      <w:tr w:rsidR="007937E9" w14:paraId="6961F30B" w14:textId="77777777">
        <w:trPr>
          <w:jc w:val="center"/>
        </w:trPr>
        <w:tc>
          <w:tcPr>
            <w:tcW w:w="52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3A07B4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7"/>
              </w:rPr>
              <w:t>EnquadramentoInicia_v2.tsv</w:t>
            </w:r>
          </w:p>
        </w:tc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46724F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Enquadramento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9C2C73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1.474</w:t>
            </w:r>
          </w:p>
        </w:tc>
      </w:tr>
      <w:tr w:rsidR="007937E9" w14:paraId="60E6E415" w14:textId="77777777">
        <w:trPr>
          <w:jc w:val="center"/>
        </w:trPr>
        <w:tc>
          <w:tcPr>
            <w:tcW w:w="52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B5E0D5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7"/>
              </w:rPr>
              <w:t>glassdoor_consolidado_join_match_v2.csv</w:t>
            </w:r>
          </w:p>
        </w:tc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7F4489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Glassdoor Match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753109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34</w:t>
            </w:r>
          </w:p>
        </w:tc>
      </w:tr>
      <w:tr w:rsidR="007937E9" w14:paraId="307C05B4" w14:textId="77777777">
        <w:trPr>
          <w:jc w:val="center"/>
        </w:trPr>
        <w:tc>
          <w:tcPr>
            <w:tcW w:w="52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C8F437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7"/>
              </w:rPr>
              <w:t>glassdoor_consolidado_join_match_less_v2.csv</w:t>
            </w:r>
          </w:p>
        </w:tc>
        <w:tc>
          <w:tcPr>
            <w:tcW w:w="249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4D9BBF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Glassdoor Match Less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5CF050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</w:tr>
    </w:tbl>
    <w:p w14:paraId="20F39FA9" w14:textId="77777777" w:rsidR="007937E9" w:rsidRDefault="007937E9">
      <w:pPr>
        <w:rPr>
          <w:rFonts w:hint="eastAsia"/>
        </w:rPr>
      </w:pPr>
    </w:p>
    <w:p w14:paraId="3D40E4FF" w14:textId="77777777" w:rsidR="007937E9" w:rsidRDefault="00000000">
      <w:pPr>
        <w:ind w:firstLine="709"/>
        <w:jc w:val="both"/>
        <w:rPr>
          <w:rFonts w:hint="eastAsia"/>
        </w:rPr>
      </w:pPr>
      <w:r>
        <w:t>A inspeção dos arquivos identificou delimitadores distintos: ponto e vírgula nas reclamações, tabulação no Enquadramento e barra vertical nas bases Glassdoor. As reclamações também apresentavam delimitador terminal, o que fazia o leitor criar uma décima quinta coluna vazia, denominada _c14. A decisão foi preservá-la na RAW e somente removê-la na Trusted após comprovação de que seus 918 valores estavam vazios.</w:t>
      </w:r>
    </w:p>
    <w:p w14:paraId="7D9DD2DD" w14:textId="77777777" w:rsidR="007937E9" w:rsidRDefault="00000000">
      <w:pPr>
        <w:pStyle w:val="Ttulo2"/>
        <w:spacing w:before="180" w:after="120"/>
      </w:pPr>
      <w:r>
        <w:rPr>
          <w:rFonts w:ascii="Liberation Serif" w:hAnsi="Liberation Serif"/>
        </w:rPr>
        <w:t>2.3 Ingestão e camada RAW</w:t>
      </w:r>
    </w:p>
    <w:p w14:paraId="2AAF6C63" w14:textId="77777777" w:rsidR="007937E9" w:rsidRDefault="00000000">
      <w:pPr>
        <w:ind w:firstLine="709"/>
        <w:jc w:val="both"/>
        <w:rPr>
          <w:rFonts w:hint="eastAsia"/>
        </w:rPr>
      </w:pPr>
      <w:r>
        <w:t>A camada RAW foi concebida como representação de preservação da fonte. A inferência automática de schema foi desativada e as conversões semânticas foram deslocadas para a Trusted. Para as reclamações, a análise dos bytes indicou forte compatibilidade com Windows-1252, inclusive pela presença do byte 0x96. Como o leitor CSV utilizado no Spark 4.1.3 não aceitava diretamente a denominação windows-1252, a RAW foi lida com ISO-8859-1 como alternativa de preservação byte a byte; posteriormente, a Trusted tratou explicitamente o caractere de controle U+0096. Enquadramento e Glassdoor foram lidos como UTF-8.</w:t>
      </w:r>
    </w:p>
    <w:p w14:paraId="26DDCE6F" w14:textId="77777777" w:rsidR="007937E9" w:rsidRDefault="00000000">
      <w:pPr>
        <w:ind w:firstLine="709"/>
        <w:jc w:val="both"/>
        <w:rPr>
          <w:rFonts w:hint="eastAsia"/>
        </w:rPr>
      </w:pPr>
      <w:r>
        <w:t>A ingestão produziu dez conjuntos em Parquet: sete conjuntos de reclamações, um de Enquadramento e dois do Glassdoor. A soma das reclamações foi de 918 registros; considerando as três bases auxiliares, a RAW totalizou 2.431 registros. Cada escrita foi seguida por releitura e comparação da quantidade de registros, e o marcador _SUCCESS confirmou a materialização dos diretórios Parquet.</w:t>
      </w:r>
    </w:p>
    <w:p w14:paraId="26454235" w14:textId="77777777" w:rsidR="007937E9" w:rsidRDefault="00000000">
      <w:pPr>
        <w:keepNext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8E0137B" wp14:editId="4758603A">
            <wp:extent cx="5760000" cy="18194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_ra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1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A27A" w14:textId="77777777" w:rsidR="007937E9" w:rsidRDefault="00000000">
      <w:pPr>
        <w:keepNext/>
        <w:spacing w:before="80" w:after="80"/>
        <w:jc w:val="center"/>
        <w:rPr>
          <w:rFonts w:hint="eastAsia"/>
        </w:rPr>
      </w:pPr>
      <w:r>
        <w:rPr>
          <w:sz w:val="19"/>
        </w:rPr>
        <w:t>Figura 2 - Recorte do log de criação da RAW, com total de 2.431 registros e marcador de sucesso</w:t>
      </w:r>
    </w:p>
    <w:p w14:paraId="6EAAF723" w14:textId="77777777" w:rsidR="007937E9" w:rsidRDefault="00000000">
      <w:pPr>
        <w:pStyle w:val="Ttulo2"/>
        <w:spacing w:before="180" w:after="120"/>
      </w:pPr>
      <w:r>
        <w:rPr>
          <w:rFonts w:ascii="Liberation Serif" w:hAnsi="Liberation Serif"/>
        </w:rPr>
        <w:t>2.4 Tratamento da camada Trusted</w:t>
      </w:r>
    </w:p>
    <w:p w14:paraId="2FD7EB3C" w14:textId="77777777" w:rsidR="007937E9" w:rsidRDefault="00000000">
      <w:pPr>
        <w:ind w:firstLine="709"/>
        <w:jc w:val="both"/>
        <w:rPr>
          <w:rFonts w:hint="eastAsia"/>
        </w:rPr>
      </w:pPr>
      <w:r>
        <w:t>Na Trusted de reclamações, as sete bases foram unificadas, os nomes das colunas foram padronizados, espaços excedentes foram removidos, strings vazias foram transformadas em nulos e os campos quantitativos foram convertidos para long. Ano e trimestre foram convertidos para inteiro, o CNPJ foi preservado como string de dígitos e a coluna arquivo_origem foi mantida para rastreabilidade. A coluna _c14 foi eliminada somente após validação de que permanecia vazia em todos os registros.</w:t>
      </w:r>
    </w:p>
    <w:p w14:paraId="09681778" w14:textId="77777777" w:rsidR="007937E9" w:rsidRDefault="00000000">
      <w:pPr>
        <w:ind w:firstLine="709"/>
        <w:jc w:val="both"/>
        <w:rPr>
          <w:rFonts w:hint="eastAsia"/>
        </w:rPr>
      </w:pPr>
      <w:r>
        <w:t>O campo Índice exigiu diagnóstico específico. Uma regra inicial substituiu vírgulas por pontos sem considerar o separador de milhar, produzindo valores inválidos como 16.699.13. A classificação dos 918 valores mostrou 262 decimais com vírgula, dois inteiros, três valores com ponto de milhar e vírgula decimal e 651 nulos. A regra final passou a remover pontos somente nos valores que continham vírgula e, depois, a substituir a vírgula decimal por ponto. Os três casos especiais - 14.015,05, 16.699,13 e 2.055,01 - passaram a ser convertidos corretamente.</w:t>
      </w:r>
    </w:p>
    <w:p w14:paraId="795912AF" w14:textId="77777777" w:rsidR="007937E9" w:rsidRDefault="00000000">
      <w:pPr>
        <w:keepNext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470655E" wp14:editId="06ED87E4">
            <wp:extent cx="5760000" cy="20905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_trus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9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B756" w14:textId="77777777" w:rsidR="007937E9" w:rsidRDefault="00000000">
      <w:pPr>
        <w:keepNext/>
        <w:spacing w:before="80" w:after="80"/>
        <w:jc w:val="center"/>
        <w:rPr>
          <w:rFonts w:hint="eastAsia"/>
        </w:rPr>
      </w:pPr>
      <w:r>
        <w:rPr>
          <w:sz w:val="19"/>
        </w:rPr>
        <w:t>Figura 3 - Diagnóstico e correção do campo Índice, com preservação dos 918 registros</w:t>
      </w:r>
    </w:p>
    <w:p w14:paraId="403C5082" w14:textId="77777777" w:rsidR="007937E9" w:rsidRDefault="00000000">
      <w:pPr>
        <w:ind w:firstLine="709"/>
        <w:jc w:val="both"/>
        <w:rPr>
          <w:rFonts w:hint="eastAsia"/>
        </w:rPr>
      </w:pPr>
      <w:r>
        <w:t>A Trusted de Enquadramento foi padronizada para segmento, cnpj e nome, totalizando 1.474 registros e 1.459 CNPJs distintos no valor original. Os CNPJs possuíam comprimentos variáveis em razão da perda prévia de zeros à esquerda. Em vez de sobrescrever o identificador original, a normalização para integração foi aplicada apenas na chave de trabalho, preenchendo com zeros até oito posições. A Trusted do Glassdoor preservou separadamente os conjuntos Match, com 34 registros, e Match Less, com cinco registros.</w:t>
      </w:r>
    </w:p>
    <w:p w14:paraId="64E96523" w14:textId="77777777" w:rsidR="007937E9" w:rsidRDefault="00000000">
      <w:pPr>
        <w:pStyle w:val="Ttulo2"/>
        <w:spacing w:before="180" w:after="120"/>
      </w:pPr>
      <w:r>
        <w:rPr>
          <w:rFonts w:ascii="Liberation Serif" w:hAnsi="Liberation Serif"/>
        </w:rPr>
        <w:t>2.5 Diagnóstico de chaves e canonicalização</w:t>
      </w:r>
    </w:p>
    <w:p w14:paraId="68D9EEB7" w14:textId="77777777" w:rsidR="007937E9" w:rsidRDefault="00000000">
      <w:pPr>
        <w:ind w:firstLine="709"/>
        <w:jc w:val="both"/>
        <w:rPr>
          <w:rFonts w:hint="eastAsia"/>
        </w:rPr>
      </w:pPr>
      <w:r>
        <w:t>A análise das chaves mostrou que as reclamações possuíam 112 CNPJs distintos. A normalização para oito posições permitiu localizar 72 desses CNPJs no Enquadramento, enquanto 40 permaneceram sem correspondência, resultando em cobertura de 64,29% das chaves distintas. O diagnóstico também revelou 15 chaves duplicadas no Enquadramento após normalização, envolvendo 30 registros, frequentemente em razão da coexistência de denominações institucionais e registros identificados como prudenciais.</w:t>
      </w:r>
    </w:p>
    <w:p w14:paraId="0BA7DE1E" w14:textId="77777777" w:rsidR="007937E9" w:rsidRDefault="00000000">
      <w:pPr>
        <w:keepNext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182E6E8" wp14:editId="75E12B25">
            <wp:extent cx="5760000" cy="22260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_cha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2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CD23" w14:textId="77777777" w:rsidR="007937E9" w:rsidRDefault="00000000">
      <w:pPr>
        <w:keepNext/>
        <w:spacing w:before="80" w:after="80"/>
        <w:jc w:val="center"/>
        <w:rPr>
          <w:rFonts w:hint="eastAsia"/>
        </w:rPr>
      </w:pPr>
      <w:r>
        <w:rPr>
          <w:sz w:val="19"/>
        </w:rPr>
        <w:t>Figura 4 - Cobertura das chaves CNPJ e preservação da cardinalidade do ramo de Enquadramento</w:t>
      </w:r>
    </w:p>
    <w:p w14:paraId="33CA7FF2" w14:textId="77777777" w:rsidR="007937E9" w:rsidRDefault="00000000">
      <w:pPr>
        <w:ind w:firstLine="709"/>
        <w:jc w:val="both"/>
        <w:rPr>
          <w:rFonts w:hint="eastAsia"/>
        </w:rPr>
      </w:pPr>
      <w:r>
        <w:t>Para impedir joins 1:N, o Enquadramento foi canonicalizado por CNPJ. Foram desconsideradas chaves inválidas equivalentes a 00000000 e, nas duplicidades, foi priorizado o registro não identificado como PRUDENCIAL; em seguida, o nome foi utilizado como critério determinístico de ordenação. O resultado foi uma dimensão canônica com 1.458 chaves, sem duplicidades residuais.</w:t>
      </w:r>
    </w:p>
    <w:p w14:paraId="7A9B44A5" w14:textId="77777777" w:rsidR="007937E9" w:rsidRDefault="00000000">
      <w:pPr>
        <w:ind w:firstLine="709"/>
        <w:jc w:val="both"/>
        <w:rPr>
          <w:rFonts w:hint="eastAsia"/>
        </w:rPr>
      </w:pPr>
      <w:r>
        <w:t>Nas reclamações, 437 linhas possuíam CNPJ e 481 não possuíam. O diagnóstico mostrou que todos os 481 registros sem CNPJ pertenciam ao tipo Conglomerado. Esses registros continham 95 nomes normalizados distintos. Na base Glassdoor Match havia 34 registros e 32 nomes canônicos, com duplicidades para JP MORGAN CHASE e VOTORANTIM. A canonicalização foi feita por maior match_percent, maior reviews_count e employer_name em ordem alfabética.</w:t>
      </w:r>
    </w:p>
    <w:p w14:paraId="31A57710" w14:textId="77777777" w:rsidR="007937E9" w:rsidRDefault="0000000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A41149D" wp14:editId="0DC0B3B7">
            <wp:extent cx="5760000" cy="23615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_glassdo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6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63E0" w14:textId="77777777" w:rsidR="007937E9" w:rsidRDefault="00000000">
      <w:pPr>
        <w:keepNext/>
        <w:spacing w:before="80" w:after="80"/>
        <w:jc w:val="center"/>
        <w:rPr>
          <w:rFonts w:hint="eastAsia"/>
        </w:rPr>
      </w:pPr>
      <w:r>
        <w:rPr>
          <w:sz w:val="19"/>
        </w:rPr>
        <w:t>Figura 5 - Cobertura por nome na integração das reclamações sem CNPJ com Glassdoor</w:t>
      </w:r>
    </w:p>
    <w:p w14:paraId="1C6551A8" w14:textId="77777777" w:rsidR="007937E9" w:rsidRDefault="00000000">
      <w:pPr>
        <w:ind w:firstLine="709"/>
        <w:jc w:val="both"/>
        <w:rPr>
          <w:rFonts w:hint="eastAsia"/>
        </w:rPr>
      </w:pPr>
      <w:r>
        <w:t xml:space="preserve">O arquivo Glassdoor Match Less permaneceu disponível na Trusted, porém foi excluído do enriquecimento automático da Delivery. Embora seus cinco CNPJs </w:t>
      </w:r>
      <w:r>
        <w:lastRenderedPageBreak/>
        <w:t>apresentassem correspondências com o Enquadramento, foram observadas associações de menor confiabilidade semântica. Optou-se, portanto, por um critério conservador: não incorporar automaticamente relações que poderiam aumentar a cobertura aparente à custa de precisão.</w:t>
      </w:r>
    </w:p>
    <w:p w14:paraId="75FA663B" w14:textId="77777777" w:rsidR="007937E9" w:rsidRDefault="00000000">
      <w:pPr>
        <w:pStyle w:val="Ttulo2"/>
        <w:spacing w:before="180" w:after="120"/>
      </w:pPr>
      <w:r>
        <w:rPr>
          <w:rFonts w:ascii="Liberation Serif" w:hAnsi="Liberation Serif"/>
        </w:rPr>
        <w:t>2.6 Construção da Delivery</w:t>
      </w:r>
    </w:p>
    <w:p w14:paraId="2230DB39" w14:textId="77777777" w:rsidR="007937E9" w:rsidRDefault="00000000">
      <w:pPr>
        <w:ind w:firstLine="709"/>
        <w:jc w:val="both"/>
        <w:rPr>
          <w:rFonts w:hint="eastAsia"/>
        </w:rPr>
      </w:pPr>
      <w:r>
        <w:t>A Delivery foi construída em dois ramos independentes. O ramo CNPJ recebeu as 437 reclamações com cnpj_if preenchido e realizou left join com o Enquadramento canônico. Foram encontrados 321 registros com Enquadramento e 116 sem correspondência, preservando as 437 linhas. O ramo de nomes recebeu as 481 reclamações sem CNPJ, normalizou o nome da instituição e realizou left join com o Glassdoor Match canônico. Foram encontradas 113 linhas com Glassdoor e 368 sem correspondência, preservando as 481 linhas.</w:t>
      </w:r>
    </w:p>
    <w:p w14:paraId="4756E1DD" w14:textId="77777777" w:rsidR="007937E9" w:rsidRDefault="00000000">
      <w:pPr>
        <w:ind w:firstLine="709"/>
        <w:jc w:val="both"/>
        <w:rPr>
          <w:rFonts w:hint="eastAsia"/>
        </w:rPr>
      </w:pPr>
      <w:r>
        <w:t>Os dois ramos receberam colunas indicadoras de método e de sucesso do enriquecimento e foram consolidados com unionByName(allowMissingColumns=True). A união produziu exatamente 918 registros, o mesmo total da base principal, demonstrando que os procedimentos de canonicalização impediram multiplicação de linhas. A tabela final possui 47 colunas, combinando os atributos originais com os campos de Enquadramento, métricas do Glassdoor, chaves de integração e flags de qualidade.</w:t>
      </w:r>
    </w:p>
    <w:p w14:paraId="6B23B20D" w14:textId="77777777" w:rsidR="007937E9" w:rsidRDefault="0000000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4BB1D71" wp14:editId="0965471B">
            <wp:extent cx="5760000" cy="22260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_delive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2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28399" w14:textId="77777777" w:rsidR="007937E9" w:rsidRDefault="00000000">
      <w:pPr>
        <w:keepNext/>
        <w:spacing w:before="80" w:after="80"/>
        <w:jc w:val="center"/>
        <w:rPr>
          <w:rFonts w:hint="eastAsia"/>
        </w:rPr>
      </w:pPr>
      <w:r>
        <w:rPr>
          <w:sz w:val="19"/>
        </w:rPr>
        <w:t>Figura 6 - Criação da Delivery final em Parquet, com 918 registros e 47 colunas</w:t>
      </w:r>
    </w:p>
    <w:p w14:paraId="6B2F6D8E" w14:textId="77777777" w:rsidR="007937E9" w:rsidRDefault="00000000">
      <w:pPr>
        <w:pStyle w:val="Ttulo2"/>
        <w:spacing w:before="180" w:after="120"/>
      </w:pPr>
      <w:r>
        <w:rPr>
          <w:rFonts w:ascii="Liberation Serif" w:hAnsi="Liberation Serif"/>
        </w:rPr>
        <w:t>2.7 Investigação da qualidade de caracteres</w:t>
      </w:r>
    </w:p>
    <w:p w14:paraId="158ACCC9" w14:textId="77777777" w:rsidR="007937E9" w:rsidRDefault="00000000">
      <w:pPr>
        <w:ind w:firstLine="709"/>
        <w:jc w:val="both"/>
        <w:rPr>
          <w:rFonts w:hint="eastAsia"/>
        </w:rPr>
      </w:pPr>
      <w:r>
        <w:t>A validação textual detectou o caractere de substituição Unicode U+FFFD em nomes provenientes do Enquadramento. Inicialmente, a ocorrência poderia ser interpretada como falha de decodificação do pipeline. Por isso, foi realizado diagnóstico em todas as bases Trusted e na Delivery, seguido de inspeção em nível de bytes do arquivo original.</w:t>
      </w:r>
    </w:p>
    <w:p w14:paraId="08DEF997" w14:textId="77777777" w:rsidR="007937E9" w:rsidRDefault="00000000">
      <w:pPr>
        <w:ind w:firstLine="709"/>
        <w:jc w:val="both"/>
        <w:rPr>
          <w:rFonts w:hint="eastAsia"/>
        </w:rPr>
      </w:pPr>
      <w:r>
        <w:lastRenderedPageBreak/>
        <w:t>A análise confirmou 3.109 sequências EF BF BD no próprio arquivo EnquadramentoInicia_v2.tsv. Em UTF-8, essa sequência representa literalmente U+FFFD; quando o mesmo arquivo é interpretado como ISO-8859-1, os bytes aparecem como a sequência textual equivalente a ï¿½, demonstrando que a informação original já havia sido perdida antes da Atividade 3. Outras cópias localizadas continham as mesmas 3.109 ocorrências e, após normalização das quebras de linha CRLF/LF, o conteúdo das versões comparadas mostrou-se idêntico.</w:t>
      </w:r>
    </w:p>
    <w:p w14:paraId="6D19BCAA" w14:textId="77777777" w:rsidR="007937E9" w:rsidRDefault="00000000">
      <w:pPr>
        <w:ind w:firstLine="709"/>
        <w:jc w:val="both"/>
        <w:rPr>
          <w:rFonts w:hint="eastAsia"/>
        </w:rPr>
      </w:pPr>
      <w:r>
        <w:t>Na Trusted de Enquadramento, 950 linhas continham U+FFFD. Na Delivery, 10 registros apresentavam o caractere em nome_enquadramento e os mesmos 10 em nome_referencia, totalizando 20 células afetadas. Não foram encontradas ocorrências nas reclamações ou nas bases Glassdoor. A decisão metodológica foi preservar a limitação da fonte, sem tentar reconstruir milhares de caracteres por heurística.</w:t>
      </w:r>
    </w:p>
    <w:p w14:paraId="0F67C969" w14:textId="77777777" w:rsidR="007937E9" w:rsidRDefault="0000000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D657C20" wp14:editId="09579CA3">
            <wp:extent cx="5760000" cy="195501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_unico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5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7A2B" w14:textId="77777777" w:rsidR="007937E9" w:rsidRDefault="00000000">
      <w:pPr>
        <w:keepNext/>
        <w:spacing w:before="80" w:after="80"/>
        <w:jc w:val="center"/>
        <w:rPr>
          <w:rFonts w:hint="eastAsia"/>
        </w:rPr>
      </w:pPr>
      <w:r>
        <w:rPr>
          <w:sz w:val="19"/>
        </w:rPr>
        <w:t>Figura 7 - Diagnóstico da presença de U+FFFD e comprovação da limitação na fonte de Enquadramento</w:t>
      </w:r>
    </w:p>
    <w:p w14:paraId="5CA97FDD" w14:textId="77777777" w:rsidR="007937E9" w:rsidRDefault="00000000">
      <w:pPr>
        <w:pStyle w:val="Ttulo2"/>
        <w:spacing w:before="180" w:after="120"/>
      </w:pPr>
      <w:r>
        <w:rPr>
          <w:rFonts w:ascii="Liberation Serif" w:hAnsi="Liberation Serif"/>
        </w:rPr>
        <w:t>2.8 Carga no PostgreSQL e validação independente</w:t>
      </w:r>
    </w:p>
    <w:p w14:paraId="6D9B1C9F" w14:textId="77777777" w:rsidR="007937E9" w:rsidRDefault="00000000">
      <w:pPr>
        <w:ind w:firstLine="709"/>
        <w:jc w:val="both"/>
        <w:rPr>
          <w:rFonts w:hint="eastAsia"/>
        </w:rPr>
      </w:pPr>
      <w:r>
        <w:t>A conexão entre Spark e PostgreSQL foi realizada por JDBC dentro da rede Docker. Antes da carga final, foi criado um teste real de escrita e leitura na tabela temporária public.jdbc_teste_atividade3, com uma linha identificada por JDBC_OK. A etapa confirmou que o driver, a resolução DNS do serviço e as credenciais estavam operacionais. O uso do parâmetro spark.jars.ivy=/tmp/.ivy2 foi necessário para permitir que o Spark armazenasse os artefatos baixados em diretório gravável.</w:t>
      </w:r>
    </w:p>
    <w:p w14:paraId="72A5E9B5" w14:textId="77777777" w:rsidR="007937E9" w:rsidRDefault="00000000">
      <w:pPr>
        <w:ind w:firstLine="709"/>
        <w:jc w:val="both"/>
        <w:rPr>
          <w:rFonts w:hint="eastAsia"/>
        </w:rPr>
      </w:pPr>
      <w:r>
        <w:t>A Delivery em Parquet foi então gravada em modo overwrite na tabela public.delivery_reclamacoes_enriquecidas. A releitura pelo Spark confirmou 918 registros e 47 colunas, com equivalência dos nomes das colunas entre Parquet e PostgreSQL. Uma verificação independente por psql confirmou COUNT(*) = 918. Ao final, a tabela temporária de teste JDBC foi removida, mantendo no schema public apenas a tabela de entrega.</w:t>
      </w:r>
    </w:p>
    <w:p w14:paraId="6203BEF6" w14:textId="77777777" w:rsidR="007937E9" w:rsidRDefault="00000000">
      <w:pPr>
        <w:keepNext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120D7DC" wp14:editId="6405C0B4">
            <wp:extent cx="5760000" cy="263265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_postgresq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3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1C719" w14:textId="77777777" w:rsidR="007937E9" w:rsidRDefault="00000000">
      <w:pPr>
        <w:keepNext/>
        <w:spacing w:before="80" w:after="80"/>
        <w:jc w:val="center"/>
        <w:rPr>
          <w:rFonts w:hint="eastAsia"/>
        </w:rPr>
      </w:pPr>
      <w:r>
        <w:rPr>
          <w:sz w:val="19"/>
        </w:rPr>
        <w:t>Figura 8 - Persistência da Delivery no PostgreSQL e validação de registros e schema</w:t>
      </w:r>
    </w:p>
    <w:p w14:paraId="58FFDADB" w14:textId="77777777" w:rsidR="007937E9" w:rsidRDefault="00000000">
      <w:pPr>
        <w:pStyle w:val="Ttulo2"/>
        <w:spacing w:before="180" w:after="120"/>
      </w:pPr>
      <w:r>
        <w:rPr>
          <w:rFonts w:ascii="Liberation Serif" w:hAnsi="Liberation Serif"/>
        </w:rPr>
        <w:t>2.9 Reprodutibilidade e organização das evidências</w:t>
      </w:r>
    </w:p>
    <w:p w14:paraId="6A7BD60D" w14:textId="77777777" w:rsidR="007937E9" w:rsidRDefault="00000000">
      <w:pPr>
        <w:ind w:firstLine="709"/>
        <w:jc w:val="both"/>
        <w:rPr>
          <w:rFonts w:hint="eastAsia"/>
        </w:rPr>
      </w:pPr>
      <w:r>
        <w:t>O projeto final foi organizado em data/input, src, evidencias, relatorio e arquivos de configuração. As camadas geradas raw, trusted e delivery foram excluídas do versionamento por serem reproduzíveis a partir das fontes e dos scripts. O código final foi consolidado em 19 scripts Python, mantendo também os diagnósticos intermediários como registro das decisões técnicas. As evidências foram reorganizadas em nove grupos: ambiente, Docker, Spark, PostgreSQL, RAW, Trusted, Delivery, validação e entrega.</w:t>
      </w:r>
    </w:p>
    <w:p w14:paraId="2BCFB067" w14:textId="77777777" w:rsidR="007937E9" w:rsidRDefault="00000000">
      <w:pPr>
        <w:ind w:firstLine="709"/>
        <w:jc w:val="both"/>
        <w:rPr>
          <w:rFonts w:hint="eastAsia"/>
        </w:rPr>
      </w:pPr>
      <w:r>
        <w:t>A entrega final também incluiu README metodológico e docker-compose.yml. O repositório Git foi separado do repositório-pai das atividades anteriores, evitando que exclusões ou modificações das Atividades 1 e 2 fossem incorporadas indevidamente. A versão final foi publicada em branch própria, revisada por Pull Request e posteriormente integrada à branch main.</w:t>
      </w:r>
    </w:p>
    <w:p w14:paraId="59AF26AC" w14:textId="77777777" w:rsidR="007937E9" w:rsidRDefault="00000000">
      <w:pPr>
        <w:pStyle w:val="Ttulo1"/>
        <w:spacing w:before="240" w:after="120"/>
      </w:pPr>
      <w:r>
        <w:rPr>
          <w:rFonts w:ascii="Liberation Serif" w:hAnsi="Liberation Serif"/>
        </w:rPr>
        <w:t>3 ANÁLISE DOS RESULTADOS</w:t>
      </w:r>
    </w:p>
    <w:p w14:paraId="2F6B8AB9" w14:textId="77777777" w:rsidR="007937E9" w:rsidRDefault="00000000">
      <w:pPr>
        <w:pStyle w:val="Ttulo2"/>
        <w:spacing w:before="180" w:after="120"/>
      </w:pPr>
      <w:r>
        <w:rPr>
          <w:rFonts w:ascii="Liberation Serif" w:hAnsi="Liberation Serif"/>
        </w:rPr>
        <w:t>3.1 Integridade e preservação dos registros</w:t>
      </w:r>
    </w:p>
    <w:p w14:paraId="4BB5A6CF" w14:textId="77777777" w:rsidR="007937E9" w:rsidRDefault="00000000">
      <w:pPr>
        <w:ind w:firstLine="709"/>
        <w:jc w:val="both"/>
        <w:rPr>
          <w:rFonts w:hint="eastAsia"/>
        </w:rPr>
      </w:pPr>
      <w:r>
        <w:t>O resultado mais importante de integridade foi a preservação da cardinalidade da base principal. Os sete arquivos trimestrais totalizaram 918 reclamações; a Trusted manteve as mesmas 918 linhas após limpeza e tipagem; os dois ramos de enriquecimento produziram 437 e 481 registros, cuja união resultou novamente em 918 linhas; e o PostgreSQL armazenou exatamente 918 registros. Não foram observadas perdas silenciosas nem multiplicações decorrentes de relações 1:N.</w:t>
      </w:r>
    </w:p>
    <w:p w14:paraId="12CD379B" w14:textId="77777777" w:rsidR="007937E9" w:rsidRDefault="00000000">
      <w:pPr>
        <w:keepNext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BBE928E" wp14:editId="69093CBB">
            <wp:extent cx="5580000" cy="275717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tribuicao_period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F811" w14:textId="77777777" w:rsidR="007937E9" w:rsidRDefault="00000000">
      <w:pPr>
        <w:keepNext/>
        <w:spacing w:before="80" w:after="80"/>
        <w:jc w:val="center"/>
        <w:rPr>
          <w:rFonts w:hint="eastAsia"/>
        </w:rPr>
      </w:pPr>
      <w:r>
        <w:rPr>
          <w:sz w:val="19"/>
        </w:rPr>
        <w:t>Figura 9 - Distribuição temporal dos 918 registros de reclamações preservados na Delivery</w:t>
      </w:r>
    </w:p>
    <w:p w14:paraId="1C6B9E50" w14:textId="77777777" w:rsidR="007937E9" w:rsidRDefault="00000000">
      <w:pPr>
        <w:ind w:firstLine="709"/>
        <w:jc w:val="both"/>
        <w:rPr>
          <w:rFonts w:hint="eastAsia"/>
        </w:rPr>
      </w:pPr>
      <w:r>
        <w:t>A distribuição temporal também permaneceu compatível com as fontes: 105 registros no primeiro trimestre de 2021, 111 no segundo, 113 no terceiro, 135 no quarto, 137 no primeiro trimestre de 2022, 163 no terceiro e 154 no quarto. A ausência do segundo trimestre de 2022 reflete a indisponibilidade do conjunto de dados e não foi preenchida artificialmente.</w:t>
      </w:r>
    </w:p>
    <w:p w14:paraId="67A51962" w14:textId="77777777" w:rsidR="007937E9" w:rsidRDefault="00000000">
      <w:pPr>
        <w:pStyle w:val="Ttulo2"/>
        <w:spacing w:before="180" w:after="120"/>
      </w:pPr>
      <w:r>
        <w:rPr>
          <w:rFonts w:ascii="Liberation Serif" w:hAnsi="Liberation Serif"/>
        </w:rPr>
        <w:t>3.2 Qualidade das chaves e efetividade do enriquecimento</w:t>
      </w:r>
    </w:p>
    <w:p w14:paraId="43CBB8E4" w14:textId="77777777" w:rsidR="007937E9" w:rsidRDefault="00000000">
      <w:pPr>
        <w:ind w:firstLine="709"/>
        <w:jc w:val="both"/>
        <w:rPr>
          <w:rFonts w:hint="eastAsia"/>
        </w:rPr>
      </w:pPr>
      <w:r>
        <w:t>A normalização da chave de CNPJ foi relevante para ampliar a integração sem alterar o valor original. Dos 112 CNPJs distintos presentes nas reclamações, 72 foram localizados no Enquadramento, correspondendo a 64,29%. Considerando as linhas do ramo CNPJ, 321 de 437 receberam dados de Enquadramento, equivalentes a 73,46% do ramo e 34,97% da Delivery total.</w:t>
      </w:r>
    </w:p>
    <w:p w14:paraId="7980D911" w14:textId="77777777" w:rsidR="007937E9" w:rsidRDefault="00000000">
      <w:pPr>
        <w:ind w:firstLine="709"/>
        <w:jc w:val="both"/>
        <w:rPr>
          <w:rFonts w:hint="eastAsia"/>
        </w:rPr>
      </w:pPr>
      <w:r>
        <w:t>No ramo sem CNPJ, 95 nomes distintos de conglomerados foram comparados com 32 nomes canônicos do Glassdoor. Vinte nomes apresentaram correspondência, equivalentes a 21,05% das chaves nominais distintas. Em termos de linhas, 113 de 481 reclamações sem CNPJ foram enriquecidas, equivalentes a 23,49% do ramo e 12,31% da Delivery. Como os dois ramos são disjuntos, 434 dos 918 registros receberam algum enriquecimento, resultando em cobertura global de 47,28%.</w:t>
      </w:r>
    </w:p>
    <w:p w14:paraId="5F146400" w14:textId="77777777" w:rsidR="007937E9" w:rsidRDefault="00000000">
      <w:pPr>
        <w:keepNext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26BC866" wp14:editId="1BF3AB34">
            <wp:extent cx="5400000" cy="276772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bertura_enriquecimen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6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3389" w14:textId="77777777" w:rsidR="007937E9" w:rsidRDefault="00000000">
      <w:pPr>
        <w:keepNext/>
        <w:spacing w:before="80" w:after="80"/>
        <w:jc w:val="center"/>
        <w:rPr>
          <w:rFonts w:hint="eastAsia"/>
        </w:rPr>
      </w:pPr>
      <w:r>
        <w:rPr>
          <w:sz w:val="19"/>
        </w:rPr>
        <w:t>Figura 10 - Cobertura dos enriquecimentos por Enquadramento, Glassdoor e total da Delivery</w:t>
      </w:r>
    </w:p>
    <w:p w14:paraId="28BED8F3" w14:textId="77777777" w:rsidR="007937E9" w:rsidRDefault="00000000">
      <w:pPr>
        <w:keepNext/>
        <w:spacing w:before="80" w:after="80"/>
        <w:jc w:val="center"/>
        <w:rPr>
          <w:rFonts w:hint="eastAsia"/>
        </w:rPr>
      </w:pPr>
      <w:r>
        <w:rPr>
          <w:sz w:val="19"/>
        </w:rPr>
        <w:t>Tabela 4 - Indicadores consolidados do resultado final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066"/>
        <w:gridCol w:w="2665"/>
      </w:tblGrid>
      <w:tr w:rsidR="007937E9" w14:paraId="1EE82C45" w14:textId="77777777">
        <w:trPr>
          <w:jc w:val="center"/>
        </w:trPr>
        <w:tc>
          <w:tcPr>
            <w:tcW w:w="6066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95B560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Indicador</w:t>
            </w:r>
          </w:p>
        </w:tc>
        <w:tc>
          <w:tcPr>
            <w:tcW w:w="2665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5BE835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Resultado</w:t>
            </w:r>
          </w:p>
        </w:tc>
      </w:tr>
      <w:tr w:rsidR="007937E9" w14:paraId="70919F32" w14:textId="77777777">
        <w:trPr>
          <w:jc w:val="center"/>
        </w:trPr>
        <w:tc>
          <w:tcPr>
            <w:tcW w:w="606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F725F0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Registros RAW totais</w:t>
            </w:r>
          </w:p>
        </w:tc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773DFB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2.431</w:t>
            </w:r>
          </w:p>
        </w:tc>
      </w:tr>
      <w:tr w:rsidR="007937E9" w14:paraId="56B7795B" w14:textId="77777777">
        <w:trPr>
          <w:jc w:val="center"/>
        </w:trPr>
        <w:tc>
          <w:tcPr>
            <w:tcW w:w="606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953947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Registros Trusted totais</w:t>
            </w:r>
          </w:p>
        </w:tc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C312DE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2.431</w:t>
            </w:r>
          </w:p>
        </w:tc>
      </w:tr>
      <w:tr w:rsidR="007937E9" w14:paraId="25A2EAB7" w14:textId="77777777">
        <w:trPr>
          <w:jc w:val="center"/>
        </w:trPr>
        <w:tc>
          <w:tcPr>
            <w:tcW w:w="606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B7866E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Reclamações na Delivery</w:t>
            </w:r>
          </w:p>
        </w:tc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ACFE42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918</w:t>
            </w:r>
          </w:p>
        </w:tc>
      </w:tr>
      <w:tr w:rsidR="007937E9" w14:paraId="0DBDA2E9" w14:textId="77777777">
        <w:trPr>
          <w:jc w:val="center"/>
        </w:trPr>
        <w:tc>
          <w:tcPr>
            <w:tcW w:w="606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1345EB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Colunas da Delivery</w:t>
            </w:r>
          </w:p>
        </w:tc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6E4799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47</w:t>
            </w:r>
          </w:p>
        </w:tc>
      </w:tr>
      <w:tr w:rsidR="007937E9" w14:paraId="49DE6451" w14:textId="77777777">
        <w:trPr>
          <w:jc w:val="center"/>
        </w:trPr>
        <w:tc>
          <w:tcPr>
            <w:tcW w:w="606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1F6E74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Registros no PostgreSQL</w:t>
            </w:r>
          </w:p>
        </w:tc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DD3F9E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918</w:t>
            </w:r>
          </w:p>
        </w:tc>
      </w:tr>
      <w:tr w:rsidR="007937E9" w14:paraId="723F36EC" w14:textId="77777777">
        <w:trPr>
          <w:jc w:val="center"/>
        </w:trPr>
        <w:tc>
          <w:tcPr>
            <w:tcW w:w="606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BB620C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CNPJs distintos nas reclamações</w:t>
            </w:r>
          </w:p>
        </w:tc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AD5267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112</w:t>
            </w:r>
          </w:p>
        </w:tc>
      </w:tr>
      <w:tr w:rsidR="007937E9" w14:paraId="6008963E" w14:textId="77777777">
        <w:trPr>
          <w:jc w:val="center"/>
        </w:trPr>
        <w:tc>
          <w:tcPr>
            <w:tcW w:w="606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2ADF29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CNPJs encontrados no Enquadramento</w:t>
            </w:r>
          </w:p>
        </w:tc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C02998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72 (64,29%)</w:t>
            </w:r>
          </w:p>
        </w:tc>
      </w:tr>
      <w:tr w:rsidR="007937E9" w14:paraId="59D43DB0" w14:textId="77777777">
        <w:trPr>
          <w:jc w:val="center"/>
        </w:trPr>
        <w:tc>
          <w:tcPr>
            <w:tcW w:w="606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78A330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Linhas no ramo CNPJ</w:t>
            </w:r>
          </w:p>
        </w:tc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193A08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437</w:t>
            </w:r>
          </w:p>
        </w:tc>
      </w:tr>
      <w:tr w:rsidR="007937E9" w14:paraId="6CE17112" w14:textId="77777777">
        <w:trPr>
          <w:jc w:val="center"/>
        </w:trPr>
        <w:tc>
          <w:tcPr>
            <w:tcW w:w="606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4F81A6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Linhas com Enquadramento</w:t>
            </w:r>
          </w:p>
        </w:tc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2D88B0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321 (34,97% do total)</w:t>
            </w:r>
          </w:p>
        </w:tc>
      </w:tr>
      <w:tr w:rsidR="007937E9" w14:paraId="083A38B1" w14:textId="77777777">
        <w:trPr>
          <w:jc w:val="center"/>
        </w:trPr>
        <w:tc>
          <w:tcPr>
            <w:tcW w:w="606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BBB507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Linhas no ramo sem CNPJ</w:t>
            </w:r>
          </w:p>
        </w:tc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1CA02F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481</w:t>
            </w:r>
          </w:p>
        </w:tc>
      </w:tr>
      <w:tr w:rsidR="007937E9" w14:paraId="1B8D7411" w14:textId="77777777">
        <w:trPr>
          <w:jc w:val="center"/>
        </w:trPr>
        <w:tc>
          <w:tcPr>
            <w:tcW w:w="606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9D9D77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Nomes distintos sem CNPJ</w:t>
            </w:r>
          </w:p>
        </w:tc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AEBCCB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95</w:t>
            </w:r>
          </w:p>
        </w:tc>
      </w:tr>
      <w:tr w:rsidR="007937E9" w14:paraId="6CDCD3A3" w14:textId="77777777">
        <w:trPr>
          <w:jc w:val="center"/>
        </w:trPr>
        <w:tc>
          <w:tcPr>
            <w:tcW w:w="606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AA6C1F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Nomes encontrados no Glassdoor</w:t>
            </w:r>
          </w:p>
        </w:tc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02A0BA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20 (21,05%)</w:t>
            </w:r>
          </w:p>
        </w:tc>
      </w:tr>
      <w:tr w:rsidR="007937E9" w14:paraId="1FF142FC" w14:textId="77777777">
        <w:trPr>
          <w:jc w:val="center"/>
        </w:trPr>
        <w:tc>
          <w:tcPr>
            <w:tcW w:w="606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B00CC6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Linhas com Glassdoor</w:t>
            </w:r>
          </w:p>
        </w:tc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E6EBCE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113 (12,31% do total)</w:t>
            </w:r>
          </w:p>
        </w:tc>
      </w:tr>
      <w:tr w:rsidR="007937E9" w14:paraId="508C5911" w14:textId="77777777">
        <w:trPr>
          <w:jc w:val="center"/>
        </w:trPr>
        <w:tc>
          <w:tcPr>
            <w:tcW w:w="606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A38ED9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Linhas sem enriquecimento</w:t>
            </w:r>
          </w:p>
        </w:tc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ABD161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484</w:t>
            </w:r>
          </w:p>
        </w:tc>
      </w:tr>
      <w:tr w:rsidR="007937E9" w14:paraId="72026E36" w14:textId="77777777">
        <w:trPr>
          <w:jc w:val="center"/>
        </w:trPr>
        <w:tc>
          <w:tcPr>
            <w:tcW w:w="606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41D17F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8"/>
              </w:rPr>
              <w:t>Registros enriquecidos</w:t>
            </w:r>
          </w:p>
        </w:tc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0EB353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434 (47,28%)</w:t>
            </w:r>
          </w:p>
        </w:tc>
      </w:tr>
    </w:tbl>
    <w:p w14:paraId="624AFF95" w14:textId="77777777" w:rsidR="007937E9" w:rsidRDefault="007937E9">
      <w:pPr>
        <w:rPr>
          <w:rFonts w:hint="eastAsia"/>
        </w:rPr>
      </w:pPr>
    </w:p>
    <w:p w14:paraId="723BDB9B" w14:textId="77777777" w:rsidR="007937E9" w:rsidRDefault="00000000">
      <w:pPr>
        <w:ind w:firstLine="709"/>
        <w:jc w:val="both"/>
        <w:rPr>
          <w:rFonts w:hint="eastAsia"/>
        </w:rPr>
      </w:pPr>
      <w:r>
        <w:t>Os 484 registros sem enriquecimento foram mantidos na Delivery com flags explícitas, em vez de serem eliminados. Essa decisão preserva a completude da base de reclamações e permite diferenciar ausência de correspondência de falha técnica. A exclusão da base Match Less do enriquecimento final também ilustra a prioridade conferida à qualidade semântica em relação ao simples aumento de cobertura.</w:t>
      </w:r>
    </w:p>
    <w:p w14:paraId="7D64B966" w14:textId="77777777" w:rsidR="007937E9" w:rsidRDefault="00000000">
      <w:pPr>
        <w:pStyle w:val="Ttulo2"/>
        <w:spacing w:before="180" w:after="120"/>
      </w:pPr>
      <w:r>
        <w:rPr>
          <w:rFonts w:ascii="Liberation Serif" w:hAnsi="Liberation Serif"/>
        </w:rPr>
        <w:lastRenderedPageBreak/>
        <w:t>3.3 Avaliação das dificuldades e das decisões técnicas</w:t>
      </w:r>
    </w:p>
    <w:p w14:paraId="1C297412" w14:textId="77777777" w:rsidR="007937E9" w:rsidRDefault="00000000">
      <w:pPr>
        <w:ind w:firstLine="709"/>
        <w:jc w:val="both"/>
        <w:rPr>
          <w:rFonts w:hint="eastAsia"/>
        </w:rPr>
      </w:pPr>
      <w:r>
        <w:t>As dificuldades encontradas tiveram papel relevante no amadurecimento da solução. Os testes iniciais no Windows mostraram que a disponibilidade dos pacotes Python e dos JARs não garante, por si só, a execução consistente do Spark. A migração de testes para WSL2 e, posteriormente, a adoção do contêiner oficial do Spark reduziram a dependência de configuração local e resultaram em um ambiente mais reproduzível.</w:t>
      </w:r>
    </w:p>
    <w:p w14:paraId="7D568D4F" w14:textId="77777777" w:rsidR="007937E9" w:rsidRDefault="00000000">
      <w:pPr>
        <w:ind w:firstLine="709"/>
        <w:jc w:val="both"/>
        <w:rPr>
          <w:rFonts w:hint="eastAsia"/>
        </w:rPr>
      </w:pPr>
      <w:r>
        <w:t>A falha de conversão do Índice exemplificou o comportamento lazy do Spark. A transformação aparentemente válida só produziu erro quando a escrita em Parquet materializou o plano, revelando strings como 16.699.13. O diagnóstico de padrões e a correção baseada na semântica numérica brasileira evitaram a solução simplista de converter valores inválidos em nulos.</w:t>
      </w:r>
    </w:p>
    <w:p w14:paraId="7C78076E" w14:textId="77777777" w:rsidR="007937E9" w:rsidRDefault="00000000">
      <w:pPr>
        <w:ind w:firstLine="709"/>
        <w:jc w:val="both"/>
        <w:rPr>
          <w:rFonts w:hint="eastAsia"/>
        </w:rPr>
      </w:pPr>
      <w:r>
        <w:t>Os diagnósticos de cardinalidade mostraram que um join tecnicamente executável pode produzir resultado incorreto se a dimensão possuir duplicidades. A canonicalização explícita do Enquadramento e do Glassdoor garantiu uma linha por chave e transformou a preservação da cardinalidade em requisito verificável. De forma semelhante, a investigação de U+FFFD separou defeito herdado da fonte de defeito introduzido pelo pipeline, evitando correções especulativas.</w:t>
      </w:r>
    </w:p>
    <w:p w14:paraId="23C2115B" w14:textId="77777777" w:rsidR="007937E9" w:rsidRDefault="00000000">
      <w:pPr>
        <w:keepNext/>
        <w:spacing w:before="80" w:after="80"/>
        <w:jc w:val="center"/>
        <w:rPr>
          <w:rFonts w:hint="eastAsia"/>
        </w:rPr>
      </w:pPr>
      <w:r>
        <w:rPr>
          <w:sz w:val="19"/>
        </w:rPr>
        <w:t>Tabela 5 - Principais dificuldades, diagnósticos e soluções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175"/>
        <w:gridCol w:w="3175"/>
      </w:tblGrid>
      <w:tr w:rsidR="007937E9" w14:paraId="559CC85F" w14:textId="77777777">
        <w:trPr>
          <w:jc w:val="center"/>
        </w:trPr>
        <w:tc>
          <w:tcPr>
            <w:tcW w:w="2381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20966A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Dificuldade</w:t>
            </w:r>
          </w:p>
        </w:tc>
        <w:tc>
          <w:tcPr>
            <w:tcW w:w="3175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374FD9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Diagnóstico</w:t>
            </w:r>
          </w:p>
        </w:tc>
        <w:tc>
          <w:tcPr>
            <w:tcW w:w="3175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FF34E4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Solução adotada</w:t>
            </w:r>
          </w:p>
        </w:tc>
      </w:tr>
      <w:tr w:rsidR="007937E9" w14:paraId="71263701" w14:textId="77777777">
        <w:trPr>
          <w:jc w:val="center"/>
        </w:trPr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BFD187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Spark no Windows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D63343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Falha de inicialização / carregamento de classes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7957B2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Validação no WSL2 e implementação final em Docker.</w:t>
            </w:r>
          </w:p>
        </w:tc>
      </w:tr>
      <w:tr w:rsidR="007937E9" w14:paraId="3D286CCF" w14:textId="77777777">
        <w:trPr>
          <w:jc w:val="center"/>
        </w:trPr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191E6B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Encoding das reclamações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B0CEDA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Bytes compatíveis com Windows-1252; charset não aceito diretamente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FC752F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Leitura RAW com ISO-8859-1 e correção controlada de U+0096 na Trusted.</w:t>
            </w:r>
          </w:p>
        </w:tc>
      </w:tr>
      <w:tr w:rsidR="007937E9" w14:paraId="535E0EAF" w14:textId="77777777">
        <w:trPr>
          <w:jc w:val="center"/>
        </w:trPr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E307C8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Coluna _c14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AE618A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Delimitador terminal nos CSV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E0DBD3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Preservação na RAW e remoção após comprovação de 0 valores preenchidos.</w:t>
            </w:r>
          </w:p>
        </w:tc>
      </w:tr>
      <w:tr w:rsidR="007937E9" w14:paraId="002CE1FE" w14:textId="77777777">
        <w:trPr>
          <w:jc w:val="center"/>
        </w:trPr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663207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Índices 16.699,13 etc.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9A2A4F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Separador de milhar + vírgula decimal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55E487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Regra dependente de vírgula: remover pontos e trocar vírgula por ponto.</w:t>
            </w:r>
          </w:p>
        </w:tc>
      </w:tr>
      <w:tr w:rsidR="007937E9" w14:paraId="344BDE6E" w14:textId="77777777">
        <w:trPr>
          <w:jc w:val="center"/>
        </w:trPr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E683AC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CNPJs variáveis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563262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Zeros à esquerda ausentes no Enquadramento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D793BF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Normalização para chave de 8 dígitos sem sobrescrever o valor original.</w:t>
            </w:r>
          </w:p>
        </w:tc>
      </w:tr>
      <w:tr w:rsidR="007937E9" w14:paraId="4EA98332" w14:textId="77777777">
        <w:trPr>
          <w:jc w:val="center"/>
        </w:trPr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A0E5D8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Joins 1:N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9E7F0B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Chaves e nomes duplicados nas dimensões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7C67DD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Canonicalização determinística por Window / row_number.</w:t>
            </w:r>
          </w:p>
        </w:tc>
      </w:tr>
      <w:tr w:rsidR="007937E9" w14:paraId="01041CC8" w14:textId="77777777">
        <w:trPr>
          <w:jc w:val="center"/>
        </w:trPr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1AE869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Glassdoor Match Less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52D66B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Associações de menor confiança semântica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F88B48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Exclusão do enriquecimento automático; manutenção apenas na Trusted.</w:t>
            </w:r>
          </w:p>
        </w:tc>
      </w:tr>
      <w:tr w:rsidR="007937E9" w14:paraId="41BCE267" w14:textId="77777777">
        <w:trPr>
          <w:jc w:val="center"/>
        </w:trPr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D0CD0C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Cache Ivy do JDBC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56F52B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Diretório padrão não gravável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082D40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spark.jars.ivy=/tmp/.ivy2.</w:t>
            </w:r>
          </w:p>
        </w:tc>
      </w:tr>
      <w:tr w:rsidR="007937E9" w14:paraId="5C5F639D" w14:textId="77777777">
        <w:trPr>
          <w:jc w:val="center"/>
        </w:trPr>
        <w:tc>
          <w:tcPr>
            <w:tcW w:w="238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466C07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Caracteres U+FFFD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AAFD84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EF BF BD já gravado fisicamente na fonte</w:t>
            </w:r>
          </w:p>
        </w:tc>
        <w:tc>
          <w:tcPr>
            <w:tcW w:w="317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CC9AE6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Preservação e documentação da limitação; sem correção heurística.</w:t>
            </w:r>
          </w:p>
        </w:tc>
      </w:tr>
    </w:tbl>
    <w:p w14:paraId="527D53D4" w14:textId="77777777" w:rsidR="007937E9" w:rsidRDefault="007937E9">
      <w:pPr>
        <w:rPr>
          <w:rFonts w:hint="eastAsia"/>
        </w:rPr>
      </w:pPr>
    </w:p>
    <w:p w14:paraId="2D05C508" w14:textId="77777777" w:rsidR="007937E9" w:rsidRDefault="00000000">
      <w:pPr>
        <w:pStyle w:val="Ttulo2"/>
        <w:spacing w:before="180" w:after="120"/>
      </w:pPr>
      <w:r>
        <w:rPr>
          <w:rFonts w:ascii="Liberation Serif" w:hAnsi="Liberation Serif"/>
        </w:rPr>
        <w:lastRenderedPageBreak/>
        <w:t>3.4 Validação consolidada, reprodutibilidade e auditabilidade</w:t>
      </w:r>
    </w:p>
    <w:p w14:paraId="516495A7" w14:textId="77777777" w:rsidR="007937E9" w:rsidRDefault="00000000">
      <w:pPr>
        <w:ind w:firstLine="709"/>
        <w:jc w:val="both"/>
        <w:rPr>
          <w:rFonts w:hint="eastAsia"/>
        </w:rPr>
      </w:pPr>
      <w:r>
        <w:t>A validação final consolidou as verificações das diferentes camadas. A RAW apresentou os 2.431 registros esperados; a Trusted apresentou 918 reclamações, 1.474 registros de Enquadramento, 34 registros Glassdoor Match e cinco Match Less; a Delivery Parquet e o PostgreSQL apresentaram 918 registros e 47 colunas; os métodos de enriquecimento somaram 437 linhas no ramo CNPJ e 481 no ramo de nomes; e as métricas de cobertura foram reproduzidas. A qualidade textual foi aprovada com registro explícito da limitação da fonte.</w:t>
      </w:r>
    </w:p>
    <w:p w14:paraId="1ACE0807" w14:textId="77777777" w:rsidR="007937E9" w:rsidRDefault="00000000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DFB9B91" wp14:editId="688BF3EC">
            <wp:extent cx="5760000" cy="249712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_fin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9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BEA5" w14:textId="77777777" w:rsidR="007937E9" w:rsidRDefault="00000000">
      <w:pPr>
        <w:keepNext/>
        <w:spacing w:before="80" w:after="80"/>
        <w:jc w:val="center"/>
        <w:rPr>
          <w:rFonts w:hint="eastAsia"/>
        </w:rPr>
      </w:pPr>
      <w:r>
        <w:rPr>
          <w:sz w:val="19"/>
        </w:rPr>
        <w:t>Figura 11 - Evidência da validação final consolidada do pipeline</w:t>
      </w:r>
    </w:p>
    <w:p w14:paraId="1C9CB26F" w14:textId="77777777" w:rsidR="007937E9" w:rsidRDefault="00000000">
      <w:pPr>
        <w:ind w:firstLine="709"/>
        <w:jc w:val="both"/>
        <w:rPr>
          <w:rFonts w:hint="eastAsia"/>
        </w:rPr>
      </w:pPr>
      <w:r>
        <w:t>O marcador VALIDACAO_FINAL_PIPELINE_OK encerra a cadeia de validação e fornece um critério objetivo de sucesso. O fato de as evidências registrarem tanto erros intermediários quanto correções e execuções finais fortalece a auditabilidade do trabalho, pois permite reconstruir o processo de diagnóstico em vez de apresentar apenas o estado final.</w:t>
      </w:r>
    </w:p>
    <w:p w14:paraId="427614C8" w14:textId="77777777" w:rsidR="007937E9" w:rsidRDefault="00000000">
      <w:pPr>
        <w:pStyle w:val="Ttulo1"/>
        <w:spacing w:before="240" w:after="120"/>
      </w:pPr>
      <w:r>
        <w:rPr>
          <w:rFonts w:ascii="Liberation Serif" w:hAnsi="Liberation Serif"/>
        </w:rPr>
        <w:t>4 CONCLUSÃO</w:t>
      </w:r>
    </w:p>
    <w:p w14:paraId="470808EF" w14:textId="77777777" w:rsidR="007937E9" w:rsidRDefault="00000000">
      <w:pPr>
        <w:ind w:firstLine="709"/>
        <w:jc w:val="both"/>
        <w:rPr>
          <w:rFonts w:hint="eastAsia"/>
        </w:rPr>
      </w:pPr>
      <w:r>
        <w:t>A Atividade 3 foi concluída com a implementação de um pipeline de ingestão e ETL em Python e Apache Spark, organizado nas camadas RAW, Trusted e Delivery e integrado a um banco PostgreSQL. A versão final foi consolidada em Docker Compose, com Spark 4.1.3 para todo o processamento dos dados e PostgreSQL 17 para persistência da tabela relacional final. O tratamento não utilizou SQL como mecanismo de transformação, atendendo ao requisito central do exercício.</w:t>
      </w:r>
    </w:p>
    <w:p w14:paraId="1A4B8F38" w14:textId="77777777" w:rsidR="007937E9" w:rsidRDefault="00000000">
      <w:pPr>
        <w:ind w:firstLine="709"/>
        <w:jc w:val="both"/>
        <w:rPr>
          <w:rFonts w:hint="eastAsia"/>
        </w:rPr>
      </w:pPr>
      <w:r>
        <w:t xml:space="preserve">O processo consolidou dez arquivos de entrada, processou 2.431 registros nas camadas RAW e Trusted e preservou os 918 registros de reclamações na Delivery. A tabela final </w:t>
      </w:r>
      <w:r>
        <w:lastRenderedPageBreak/>
        <w:t>possui 47 colunas e está disponível tanto em Parquet quanto em public.delivery_reclamacoes_enriquecidas. A canonicalização das dimensões impediu multiplicação de linhas; a normalização das chaves aumentou a capacidade de associação; e o desenho em dois ramos permitiu tratar de forma distinta reclamações com e sem CNPJ.</w:t>
      </w:r>
    </w:p>
    <w:p w14:paraId="5FC21B61" w14:textId="77777777" w:rsidR="007937E9" w:rsidRDefault="00000000">
      <w:pPr>
        <w:ind w:firstLine="709"/>
        <w:jc w:val="both"/>
        <w:rPr>
          <w:rFonts w:hint="eastAsia"/>
        </w:rPr>
      </w:pPr>
      <w:r>
        <w:t>A cobertura global de enriquecimento foi de 47,28%, correspondente a 321 registros enriquecidos com Enquadramento e 113 com Glassdoor. A manutenção de 484 registros sem correspondência preservou a integridade da base principal, e a exclusão da base Glassdoor Match Less do enriquecimento automático demonstrou uma decisão conservadora orientada à qualidade. A investigação de caracteres U+FFFD comprovou que a limitação textual era preexistente na fonte, razão pela qual não se realizaram substituições especulativas.</w:t>
      </w:r>
    </w:p>
    <w:p w14:paraId="34A12F62" w14:textId="77777777" w:rsidR="007937E9" w:rsidRDefault="00000000">
      <w:pPr>
        <w:ind w:firstLine="709"/>
        <w:jc w:val="both"/>
        <w:rPr>
          <w:rFonts w:hint="eastAsia"/>
        </w:rPr>
      </w:pPr>
      <w:r>
        <w:t>Do ponto de vista pedagógico, a atividade permitiu trabalhar não apenas a sintaxe do PySpark, mas problemas reais de ambiente, formatos, avaliação lazy, chaves de integração, cardinalidade de joins, qualidade textual, JDBC, persistência, versionamento e rastreabilidade. Dessa forma, considera-se que os objetivos técnicos e de aprendizagem foram atendidos e que o pipeline resultante apresenta nível adequado de reprodutibilidade e auditabilidade para a entrega acadêmica.</w:t>
      </w:r>
    </w:p>
    <w:p w14:paraId="26A37F98" w14:textId="77777777" w:rsidR="007937E9" w:rsidRDefault="00000000">
      <w:pPr>
        <w:pStyle w:val="Ttulo1"/>
        <w:spacing w:before="240" w:after="120"/>
      </w:pPr>
      <w:r>
        <w:rPr>
          <w:rFonts w:ascii="Liberation Serif" w:hAnsi="Liberation Serif"/>
        </w:rPr>
        <w:t>5 REFERÊNCIAS</w:t>
      </w:r>
    </w:p>
    <w:p w14:paraId="6962BE83" w14:textId="77777777" w:rsidR="007937E9" w:rsidRDefault="00000000">
      <w:pPr>
        <w:spacing w:after="160" w:line="240" w:lineRule="auto"/>
        <w:rPr>
          <w:rFonts w:hint="eastAsia"/>
        </w:rPr>
      </w:pPr>
      <w:r>
        <w:rPr>
          <w:sz w:val="21"/>
        </w:rPr>
        <w:t>APACHE SOFTWARE FOUNDATION. Apache Spark: JDBC To Other Databases. Documentação oficial. Disponível em: https://spark.apache.org/docs/latest/sql-data-sources-jdbc.html. Acesso em: 17 ago. 2026.</w:t>
      </w:r>
    </w:p>
    <w:p w14:paraId="0C338EB2" w14:textId="77777777" w:rsidR="007937E9" w:rsidRDefault="00000000">
      <w:pPr>
        <w:spacing w:after="160" w:line="240" w:lineRule="auto"/>
        <w:rPr>
          <w:rFonts w:hint="eastAsia"/>
        </w:rPr>
      </w:pPr>
      <w:r>
        <w:rPr>
          <w:sz w:val="21"/>
        </w:rPr>
        <w:t>APACHE SOFTWARE FOUNDATION. Apache Spark: Parquet Files. Documentação oficial. Disponível em: https://spark.apache.org/docs/latest/sql-data-sources-parquet.html. Acesso em: 17 ago. 2026.</w:t>
      </w:r>
    </w:p>
    <w:p w14:paraId="30F5F3BE" w14:textId="77777777" w:rsidR="007937E9" w:rsidRDefault="00000000">
      <w:pPr>
        <w:spacing w:after="160" w:line="240" w:lineRule="auto"/>
        <w:rPr>
          <w:rFonts w:hint="eastAsia"/>
        </w:rPr>
      </w:pPr>
      <w:r>
        <w:rPr>
          <w:sz w:val="21"/>
        </w:rPr>
        <w:t>APACHE SOFTWARE FOUNDATION. Apache Spark 4.1.3. Documentação e distribuição oficial, 2026.</w:t>
      </w:r>
    </w:p>
    <w:p w14:paraId="669498E3" w14:textId="77777777" w:rsidR="007937E9" w:rsidRDefault="00000000">
      <w:pPr>
        <w:spacing w:after="160" w:line="240" w:lineRule="auto"/>
        <w:rPr>
          <w:rFonts w:hint="eastAsia"/>
        </w:rPr>
      </w:pPr>
      <w:r>
        <w:rPr>
          <w:sz w:val="21"/>
        </w:rPr>
        <w:t>POSTGRESQL GLOBAL DEVELOPMENT GROUP. PostgreSQL 17 Documentation. Disponível em: https://www.postgresql.org/docs/17/. Acesso em: 17 ago. 2026.</w:t>
      </w:r>
    </w:p>
    <w:p w14:paraId="6DBA26A3" w14:textId="77777777" w:rsidR="007937E9" w:rsidRDefault="00000000">
      <w:pPr>
        <w:spacing w:after="160" w:line="240" w:lineRule="auto"/>
        <w:rPr>
          <w:rFonts w:hint="eastAsia"/>
        </w:rPr>
      </w:pPr>
      <w:r>
        <w:rPr>
          <w:sz w:val="21"/>
        </w:rPr>
        <w:t>POSTGRESQL JDBC PROJECT. PostgreSQL JDBC Driver 42.7.13. Documentação do projeto pgJDBC, 2026.</w:t>
      </w:r>
    </w:p>
    <w:p w14:paraId="196923D1" w14:textId="77777777" w:rsidR="007937E9" w:rsidRDefault="00000000">
      <w:pPr>
        <w:spacing w:after="160" w:line="240" w:lineRule="auto"/>
        <w:rPr>
          <w:rFonts w:hint="eastAsia"/>
        </w:rPr>
      </w:pPr>
      <w:r>
        <w:rPr>
          <w:sz w:val="21"/>
        </w:rPr>
        <w:t>PECE/POLI/USP. Orientação de Trabalho - Atividade 3: Ingestão e ETL com linguagem de programação (Python + Spark). Material da disciplina Ingestão de Dados e Pipeline, 2026.</w:t>
      </w:r>
    </w:p>
    <w:p w14:paraId="718FD247" w14:textId="77777777" w:rsidR="007937E9" w:rsidRDefault="00000000">
      <w:pPr>
        <w:pStyle w:val="Ttulo1"/>
        <w:spacing w:before="240" w:after="120"/>
      </w:pPr>
      <w:r>
        <w:rPr>
          <w:rFonts w:ascii="Liberation Serif" w:hAnsi="Liberation Serif"/>
        </w:rPr>
        <w:t>APÊNDICE A - INVENTÁRIO DOS SCRIPTS E RASTREABILIDADE</w:t>
      </w:r>
    </w:p>
    <w:p w14:paraId="3582E754" w14:textId="77777777" w:rsidR="007937E9" w:rsidRDefault="00000000">
      <w:pPr>
        <w:ind w:firstLine="709"/>
        <w:jc w:val="both"/>
        <w:rPr>
          <w:rFonts w:hint="eastAsia"/>
        </w:rPr>
      </w:pPr>
      <w:r>
        <w:t>O Quadro A.1 relaciona os 19 scripts presentes na versão final do projeto. A nomenclatura foi compatibilizada com a estrutura efetivamente publicada, substituindo o inventário anterior de 20 scripts por um conjunto final de 19 arquivos, no qual os diagnósticos e as etapas de produção refletem o pipeline validado.</w:t>
      </w:r>
    </w:p>
    <w:p w14:paraId="79F14CF7" w14:textId="77777777" w:rsidR="007937E9" w:rsidRDefault="00000000">
      <w:pPr>
        <w:keepNext/>
        <w:spacing w:before="80" w:after="80"/>
        <w:jc w:val="center"/>
        <w:rPr>
          <w:rFonts w:hint="eastAsia"/>
        </w:rPr>
      </w:pPr>
      <w:r>
        <w:rPr>
          <w:sz w:val="19"/>
        </w:rPr>
        <w:lastRenderedPageBreak/>
        <w:t>Tabela A.1 - Inventário final dos scripts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386"/>
      </w:tblGrid>
      <w:tr w:rsidR="007937E9" w14:paraId="5E0DB530" w14:textId="77777777">
        <w:trPr>
          <w:tblHeader/>
          <w:jc w:val="center"/>
        </w:trPr>
        <w:tc>
          <w:tcPr>
            <w:tcW w:w="3402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229C90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Script</w:t>
            </w:r>
          </w:p>
        </w:tc>
        <w:tc>
          <w:tcPr>
            <w:tcW w:w="5386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DD0B76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Finalidade</w:t>
            </w:r>
          </w:p>
        </w:tc>
      </w:tr>
      <w:tr w:rsidR="007937E9" w14:paraId="432448FF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ECCE13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7"/>
              </w:rPr>
              <w:t>01_teste_spark.py</w:t>
            </w:r>
          </w:p>
        </w:tc>
        <w:tc>
          <w:tcPr>
            <w:tcW w:w="538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AA8E5C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Validação inicial do ambiente Spark.</w:t>
            </w:r>
          </w:p>
        </w:tc>
      </w:tr>
      <w:tr w:rsidR="007937E9" w14:paraId="6BB7E661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1135ED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7"/>
              </w:rPr>
              <w:t>02_inspecionar_arquivos.py</w:t>
            </w:r>
          </w:p>
        </w:tc>
        <w:tc>
          <w:tcPr>
            <w:tcW w:w="538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4EB664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Inspeção física, delimitadores e amostras das fontes.</w:t>
            </w:r>
          </w:p>
        </w:tc>
      </w:tr>
      <w:tr w:rsidR="007937E9" w14:paraId="0C23B2E0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0DFF18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7"/>
              </w:rPr>
              <w:t>03_validar_leitura_estruturada.py</w:t>
            </w:r>
          </w:p>
        </w:tc>
        <w:tc>
          <w:tcPr>
            <w:tcW w:w="538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FFE5E6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Validação de leitura, colunas e contagens.</w:t>
            </w:r>
          </w:p>
        </w:tc>
      </w:tr>
      <w:tr w:rsidR="007937E9" w14:paraId="3868368B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91FAD7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7"/>
              </w:rPr>
              <w:t>04_testar_encoding_reclamacoes.py</w:t>
            </w:r>
          </w:p>
        </w:tc>
        <w:tc>
          <w:tcPr>
            <w:tcW w:w="538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50DE2E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Diagnóstico do encoding dos arquivos de reclamações.</w:t>
            </w:r>
          </w:p>
        </w:tc>
      </w:tr>
      <w:tr w:rsidR="007937E9" w14:paraId="11F3FDDC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01564E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7"/>
              </w:rPr>
              <w:t>05_criar_raw.py</w:t>
            </w:r>
          </w:p>
        </w:tc>
        <w:tc>
          <w:tcPr>
            <w:tcW w:w="538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589FB6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Ingestão das dez fontes e gravação da camada RAW em Parquet.</w:t>
            </w:r>
          </w:p>
        </w:tc>
      </w:tr>
      <w:tr w:rsidR="007937E9" w14:paraId="41C05EF6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5E9465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7"/>
              </w:rPr>
              <w:t>06_validar_raw.py</w:t>
            </w:r>
          </w:p>
        </w:tc>
        <w:tc>
          <w:tcPr>
            <w:tcW w:w="538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6FDEBA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Validação da RAW e da coluna _c14.</w:t>
            </w:r>
          </w:p>
        </w:tc>
      </w:tr>
      <w:tr w:rsidR="007937E9" w14:paraId="653A3F6F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07D199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7"/>
              </w:rPr>
              <w:t>07_criar_trusted_reclamacoes.py</w:t>
            </w:r>
          </w:p>
        </w:tc>
        <w:tc>
          <w:tcPr>
            <w:tcW w:w="538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007FF9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Tratamento, tipagem e união das reclamações.</w:t>
            </w:r>
          </w:p>
        </w:tc>
      </w:tr>
      <w:tr w:rsidR="007937E9" w14:paraId="40322893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A06636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7"/>
              </w:rPr>
              <w:t>08_diagnosticar_indice_reclamacoes.py</w:t>
            </w:r>
          </w:p>
        </w:tc>
        <w:tc>
          <w:tcPr>
            <w:tcW w:w="538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7DD3C6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Classificação dos formatos do campo Índice.</w:t>
            </w:r>
          </w:p>
        </w:tc>
      </w:tr>
      <w:tr w:rsidR="007937E9" w14:paraId="33CF7818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4B5A7B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7"/>
              </w:rPr>
              <w:t>09_criar_trusted_enquadramento.py</w:t>
            </w:r>
          </w:p>
        </w:tc>
        <w:tc>
          <w:tcPr>
            <w:tcW w:w="538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DAFAAC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Padronização do Enquadramento.</w:t>
            </w:r>
          </w:p>
        </w:tc>
      </w:tr>
      <w:tr w:rsidR="007937E9" w14:paraId="06E86ED7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3F01DE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7"/>
              </w:rPr>
              <w:t>10_criar_trusted_glassdoor.py</w:t>
            </w:r>
          </w:p>
        </w:tc>
        <w:tc>
          <w:tcPr>
            <w:tcW w:w="538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3770A0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Padronização das bases Glassdoor Match e Match Less.</w:t>
            </w:r>
          </w:p>
        </w:tc>
      </w:tr>
      <w:tr w:rsidR="007937E9" w14:paraId="56556E3E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F0D0E0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7"/>
              </w:rPr>
              <w:t>11_diagnosticar_chaves_integracao.py</w:t>
            </w:r>
          </w:p>
        </w:tc>
        <w:tc>
          <w:tcPr>
            <w:tcW w:w="538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89DFA4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Diagnóstico de CNPJ, duplicidades e cobertura.</w:t>
            </w:r>
          </w:p>
        </w:tc>
      </w:tr>
      <w:tr w:rsidR="007937E9" w14:paraId="1237EFD0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732E4C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7"/>
              </w:rPr>
              <w:t>12_diagnosticar_estrategia_delivery.py</w:t>
            </w:r>
          </w:p>
        </w:tc>
        <w:tc>
          <w:tcPr>
            <w:tcW w:w="538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C3D10F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Definição e validação dos dois ramos de enriquecimento.</w:t>
            </w:r>
          </w:p>
        </w:tc>
      </w:tr>
      <w:tr w:rsidR="007937E9" w14:paraId="3FBF2E37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F7BD5B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7"/>
              </w:rPr>
              <w:t>13_criar_delivery.py</w:t>
            </w:r>
          </w:p>
        </w:tc>
        <w:tc>
          <w:tcPr>
            <w:tcW w:w="538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2807C6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Canonicalização, joins, união e gravação da Delivery.</w:t>
            </w:r>
          </w:p>
        </w:tc>
      </w:tr>
      <w:tr w:rsidR="007937E9" w14:paraId="78889722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5CD46A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7"/>
              </w:rPr>
              <w:t>14_testar_driver_postgresql.py</w:t>
            </w:r>
          </w:p>
        </w:tc>
        <w:tc>
          <w:tcPr>
            <w:tcW w:w="538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4DB795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Teste de disponibilidade do driver PostgreSQL.</w:t>
            </w:r>
          </w:p>
        </w:tc>
      </w:tr>
      <w:tr w:rsidR="007937E9" w14:paraId="484FB82F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1AE28C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7"/>
              </w:rPr>
              <w:t>15_testar_conexao_jdbc.py</w:t>
            </w:r>
          </w:p>
        </w:tc>
        <w:tc>
          <w:tcPr>
            <w:tcW w:w="538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71DD9D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Teste real de escrita e leitura JDBC.</w:t>
            </w:r>
          </w:p>
        </w:tc>
      </w:tr>
      <w:tr w:rsidR="007937E9" w14:paraId="760263B3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59CF59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7"/>
              </w:rPr>
              <w:t>16_gravar_delivery_postgresql.py</w:t>
            </w:r>
          </w:p>
        </w:tc>
        <w:tc>
          <w:tcPr>
            <w:tcW w:w="538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744EDD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Carga da Delivery e releitura do PostgreSQL.</w:t>
            </w:r>
          </w:p>
        </w:tc>
      </w:tr>
      <w:tr w:rsidR="007937E9" w14:paraId="0B81BC5E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B7CE0D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7"/>
              </w:rPr>
              <w:t>17_validacao_final_pipeline.py</w:t>
            </w:r>
          </w:p>
        </w:tc>
        <w:tc>
          <w:tcPr>
            <w:tcW w:w="538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68A4A9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Validação consolidada das camadas, schema e qualidade.</w:t>
            </w:r>
          </w:p>
        </w:tc>
      </w:tr>
      <w:tr w:rsidR="007937E9" w14:paraId="2CC08498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2414E1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7"/>
              </w:rPr>
              <w:t>18_diagnosticar_unicode.py</w:t>
            </w:r>
          </w:p>
        </w:tc>
        <w:tc>
          <w:tcPr>
            <w:tcW w:w="538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41AE18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Localização de ocorrências U+FFFD nas bases.</w:t>
            </w:r>
          </w:p>
        </w:tc>
      </w:tr>
      <w:tr w:rsidR="007937E9" w14:paraId="2FD9555D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AB85B2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7"/>
              </w:rPr>
              <w:t>19_diagnosticar_encoding_enquadramento.py</w:t>
            </w:r>
          </w:p>
        </w:tc>
        <w:tc>
          <w:tcPr>
            <w:tcW w:w="538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3503A2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Diagnóstico da codificação e da perda textual no Enquadramento.</w:t>
            </w:r>
          </w:p>
        </w:tc>
      </w:tr>
    </w:tbl>
    <w:p w14:paraId="3FAC9FD6" w14:textId="77777777" w:rsidR="007937E9" w:rsidRDefault="007937E9">
      <w:pPr>
        <w:rPr>
          <w:rFonts w:hint="eastAsia"/>
        </w:rPr>
      </w:pPr>
    </w:p>
    <w:p w14:paraId="5C7CA06B" w14:textId="77777777" w:rsidR="007937E9" w:rsidRDefault="00000000">
      <w:pPr>
        <w:pStyle w:val="Ttulo1"/>
        <w:spacing w:before="240" w:after="120"/>
      </w:pPr>
      <w:r>
        <w:rPr>
          <w:rFonts w:ascii="Liberation Serif" w:hAnsi="Liberation Serif"/>
        </w:rPr>
        <w:t>APÊNDICE B - TRECHOS DOS CÓDIGOS UTILIZADOS</w:t>
      </w:r>
    </w:p>
    <w:p w14:paraId="3423143F" w14:textId="77777777" w:rsidR="007937E9" w:rsidRDefault="00000000">
      <w:pPr>
        <w:ind w:firstLine="709"/>
        <w:jc w:val="both"/>
        <w:rPr>
          <w:rFonts w:hint="eastAsia"/>
        </w:rPr>
      </w:pPr>
      <w:r>
        <w:t>Os trechos a seguir reproduzem as operações centrais do pipeline compatibilizado. A íntegra dos arquivos .py integra a entrega digital na pasta src.</w:t>
      </w:r>
    </w:p>
    <w:p w14:paraId="40CC7387" w14:textId="77777777" w:rsidR="007937E9" w:rsidRDefault="00000000">
      <w:pPr>
        <w:pStyle w:val="Ttulo2"/>
        <w:spacing w:before="180" w:after="120"/>
      </w:pPr>
      <w:r>
        <w:rPr>
          <w:rFonts w:ascii="Liberation Serif" w:hAnsi="Liberation Serif"/>
        </w:rPr>
        <w:t>B.1 Leitura e gravação da camada RAW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7937E9" w14:paraId="7CBDC899" w14:textId="77777777">
        <w:trPr>
          <w:jc w:val="center"/>
        </w:trPr>
        <w:tc>
          <w:tcPr>
            <w:tcW w:w="9071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8D62F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sz w:val="15"/>
              </w:rPr>
              <w:t>spark = (</w:t>
            </w:r>
            <w:r>
              <w:rPr>
                <w:rFonts w:ascii="DejaVu Sans Mono" w:hAnsi="DejaVu Sans Mono"/>
                <w:sz w:val="15"/>
              </w:rPr>
              <w:br/>
              <w:t xml:space="preserve">    SparkSession.builder</w:t>
            </w:r>
            <w:r>
              <w:rPr>
                <w:rFonts w:ascii="DejaVu Sans Mono" w:hAnsi="DejaVu Sans Mono"/>
                <w:sz w:val="15"/>
              </w:rPr>
              <w:br/>
              <w:t xml:space="preserve">    .appName("Atividade3_Camada_RAW")</w:t>
            </w:r>
            <w:r>
              <w:rPr>
                <w:rFonts w:ascii="DejaVu Sans Mono" w:hAnsi="DejaVu Sans Mono"/>
                <w:sz w:val="15"/>
              </w:rPr>
              <w:br/>
              <w:t xml:space="preserve">    .config("spark.sql.shuffle.partitions", "2")</w:t>
            </w:r>
            <w:r>
              <w:rPr>
                <w:rFonts w:ascii="DejaVu Sans Mono" w:hAnsi="DejaVu Sans Mono"/>
                <w:sz w:val="15"/>
              </w:rPr>
              <w:br/>
              <w:t xml:space="preserve">    .getOrCreate()</w:t>
            </w:r>
            <w:r>
              <w:rPr>
                <w:rFonts w:ascii="DejaVu Sans Mono" w:hAnsi="DejaVu Sans Mono"/>
                <w:sz w:val="15"/>
              </w:rPr>
              <w:br/>
              <w:t>)</w:t>
            </w:r>
            <w:r>
              <w:rPr>
                <w:rFonts w:ascii="DejaVu Sans Mono" w:hAnsi="DejaVu Sans Mono"/>
                <w:sz w:val="15"/>
              </w:rPr>
              <w:br/>
            </w:r>
            <w:r>
              <w:rPr>
                <w:rFonts w:ascii="DejaVu Sans Mono" w:hAnsi="DejaVu Sans Mono"/>
                <w:sz w:val="15"/>
              </w:rPr>
              <w:br/>
              <w:t>df = (</w:t>
            </w:r>
            <w:r>
              <w:rPr>
                <w:rFonts w:ascii="DejaVu Sans Mono" w:hAnsi="DejaVu Sans Mono"/>
                <w:sz w:val="15"/>
              </w:rPr>
              <w:br/>
              <w:t xml:space="preserve">    spark.read</w:t>
            </w:r>
            <w:r>
              <w:rPr>
                <w:rFonts w:ascii="DejaVu Sans Mono" w:hAnsi="DejaVu Sans Mono"/>
                <w:sz w:val="15"/>
              </w:rPr>
              <w:br/>
              <w:t xml:space="preserve">    .option("header", "true")</w:t>
            </w:r>
            <w:r>
              <w:rPr>
                <w:rFonts w:ascii="DejaVu Sans Mono" w:hAnsi="DejaVu Sans Mono"/>
                <w:sz w:val="15"/>
              </w:rPr>
              <w:br/>
              <w:t xml:space="preserve">    .option("sep", fonte["sep"])</w:t>
            </w:r>
            <w:r>
              <w:rPr>
                <w:rFonts w:ascii="DejaVu Sans Mono" w:hAnsi="DejaVu Sans Mono"/>
                <w:sz w:val="15"/>
              </w:rPr>
              <w:br/>
              <w:t xml:space="preserve">    .option("encoding", fonte["encoding"])</w:t>
            </w:r>
            <w:r>
              <w:rPr>
                <w:rFonts w:ascii="DejaVu Sans Mono" w:hAnsi="DejaVu Sans Mono"/>
                <w:sz w:val="15"/>
              </w:rPr>
              <w:br/>
              <w:t xml:space="preserve">    .option("inferSchema", "false")</w:t>
            </w:r>
            <w:r>
              <w:rPr>
                <w:rFonts w:ascii="DejaVu Sans Mono" w:hAnsi="DejaVu Sans Mono"/>
                <w:sz w:val="15"/>
              </w:rPr>
              <w:br/>
              <w:t xml:space="preserve">    .option("mode", "PERMISSIVE")</w:t>
            </w:r>
            <w:r>
              <w:rPr>
                <w:rFonts w:ascii="DejaVu Sans Mono" w:hAnsi="DejaVu Sans Mono"/>
                <w:sz w:val="15"/>
              </w:rPr>
              <w:br/>
              <w:t xml:space="preserve">    .csv(caminho_entrada)</w:t>
            </w:r>
            <w:r>
              <w:rPr>
                <w:rFonts w:ascii="DejaVu Sans Mono" w:hAnsi="DejaVu Sans Mono"/>
                <w:sz w:val="15"/>
              </w:rPr>
              <w:br/>
              <w:t>)</w:t>
            </w:r>
            <w:r>
              <w:rPr>
                <w:rFonts w:ascii="DejaVu Sans Mono" w:hAnsi="DejaVu Sans Mono"/>
                <w:sz w:val="15"/>
              </w:rPr>
              <w:br/>
            </w:r>
            <w:r>
              <w:rPr>
                <w:rFonts w:ascii="DejaVu Sans Mono" w:hAnsi="DejaVu Sans Mono"/>
                <w:sz w:val="15"/>
              </w:rPr>
              <w:br/>
              <w:t>df.write.mode("overwrite").parquet(caminho_saida)</w:t>
            </w:r>
          </w:p>
        </w:tc>
      </w:tr>
    </w:tbl>
    <w:p w14:paraId="17C59BC8" w14:textId="77777777" w:rsidR="007937E9" w:rsidRDefault="007937E9">
      <w:pPr>
        <w:rPr>
          <w:rFonts w:hint="eastAsia"/>
        </w:rPr>
      </w:pPr>
    </w:p>
    <w:p w14:paraId="12F6076C" w14:textId="77777777" w:rsidR="007937E9" w:rsidRDefault="00000000">
      <w:pPr>
        <w:pStyle w:val="Ttulo2"/>
        <w:spacing w:before="180" w:after="120"/>
      </w:pPr>
      <w:r>
        <w:rPr>
          <w:rFonts w:ascii="Liberation Serif" w:hAnsi="Liberation Serif"/>
        </w:rPr>
        <w:lastRenderedPageBreak/>
        <w:t>B.2 Regra de normalização do CNPJ para integração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7937E9" w14:paraId="00D8AAA4" w14:textId="77777777">
        <w:trPr>
          <w:jc w:val="center"/>
        </w:trPr>
        <w:tc>
          <w:tcPr>
            <w:tcW w:w="9071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8783D1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sz w:val="15"/>
              </w:rPr>
              <w:t>def normalizar_cnpj(coluna):</w:t>
            </w:r>
            <w:r>
              <w:rPr>
                <w:rFonts w:ascii="DejaVu Sans Mono" w:hAnsi="DejaVu Sans Mono"/>
                <w:sz w:val="15"/>
              </w:rPr>
              <w:br/>
              <w:t xml:space="preserve">    digitos = regexp_replace(coluna, r"[^0-9]", "")</w:t>
            </w:r>
            <w:r>
              <w:rPr>
                <w:rFonts w:ascii="DejaVu Sans Mono" w:hAnsi="DejaVu Sans Mono"/>
                <w:sz w:val="15"/>
              </w:rPr>
              <w:br/>
              <w:t xml:space="preserve">    return when(</w:t>
            </w:r>
            <w:r>
              <w:rPr>
                <w:rFonts w:ascii="DejaVu Sans Mono" w:hAnsi="DejaVu Sans Mono"/>
                <w:sz w:val="15"/>
              </w:rPr>
              <w:br/>
              <w:t xml:space="preserve">        (length(digitos) &gt;= 1) &amp; (length(digitos) &lt;= 8),</w:t>
            </w:r>
            <w:r>
              <w:rPr>
                <w:rFonts w:ascii="DejaVu Sans Mono" w:hAnsi="DejaVu Sans Mono"/>
                <w:sz w:val="15"/>
              </w:rPr>
              <w:br/>
              <w:t xml:space="preserve">        lpad(digitos, 8, "0")</w:t>
            </w:r>
            <w:r>
              <w:rPr>
                <w:rFonts w:ascii="DejaVu Sans Mono" w:hAnsi="DejaVu Sans Mono"/>
                <w:sz w:val="15"/>
              </w:rPr>
              <w:br/>
              <w:t xml:space="preserve">    ).otherwise(None)</w:t>
            </w:r>
          </w:p>
        </w:tc>
      </w:tr>
    </w:tbl>
    <w:p w14:paraId="13171485" w14:textId="77777777" w:rsidR="007937E9" w:rsidRDefault="007937E9">
      <w:pPr>
        <w:rPr>
          <w:rFonts w:hint="eastAsia"/>
        </w:rPr>
      </w:pPr>
    </w:p>
    <w:p w14:paraId="777AFBF8" w14:textId="77777777" w:rsidR="007937E9" w:rsidRDefault="00000000">
      <w:pPr>
        <w:pStyle w:val="Ttulo2"/>
        <w:spacing w:before="180" w:after="120"/>
      </w:pPr>
      <w:r>
        <w:rPr>
          <w:rFonts w:ascii="Liberation Serif" w:hAnsi="Liberation Serif"/>
        </w:rPr>
        <w:t>B.3 Canonicalização do Glassdoor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7937E9" w14:paraId="4D928415" w14:textId="77777777">
        <w:trPr>
          <w:jc w:val="center"/>
        </w:trPr>
        <w:tc>
          <w:tcPr>
            <w:tcW w:w="9071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2153A4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sz w:val="15"/>
              </w:rPr>
              <w:t>janela_gd = Window.partitionBy("nome_chave").orderBy(</w:t>
            </w:r>
            <w:r>
              <w:rPr>
                <w:rFonts w:ascii="DejaVu Sans Mono" w:hAnsi="DejaVu Sans Mono"/>
                <w:sz w:val="15"/>
              </w:rPr>
              <w:br/>
              <w:t xml:space="preserve">    col("match_percent").desc_nulls_last(),</w:t>
            </w:r>
            <w:r>
              <w:rPr>
                <w:rFonts w:ascii="DejaVu Sans Mono" w:hAnsi="DejaVu Sans Mono"/>
                <w:sz w:val="15"/>
              </w:rPr>
              <w:br/>
              <w:t xml:space="preserve">    col("reviews_count").desc_nulls_last(),</w:t>
            </w:r>
            <w:r>
              <w:rPr>
                <w:rFonts w:ascii="DejaVu Sans Mono" w:hAnsi="DejaVu Sans Mono"/>
                <w:sz w:val="15"/>
              </w:rPr>
              <w:br/>
              <w:t xml:space="preserve">    col("employer_name").asc()</w:t>
            </w:r>
            <w:r>
              <w:rPr>
                <w:rFonts w:ascii="DejaVu Sans Mono" w:hAnsi="DejaVu Sans Mono"/>
                <w:sz w:val="15"/>
              </w:rPr>
              <w:br/>
              <w:t>)</w:t>
            </w:r>
            <w:r>
              <w:rPr>
                <w:rFonts w:ascii="DejaVu Sans Mono" w:hAnsi="DejaVu Sans Mono"/>
                <w:sz w:val="15"/>
              </w:rPr>
              <w:br/>
            </w:r>
            <w:r>
              <w:rPr>
                <w:rFonts w:ascii="DejaVu Sans Mono" w:hAnsi="DejaVu Sans Mono"/>
                <w:sz w:val="15"/>
              </w:rPr>
              <w:br/>
              <w:t>gd_canonico = (</w:t>
            </w:r>
            <w:r>
              <w:rPr>
                <w:rFonts w:ascii="DejaVu Sans Mono" w:hAnsi="DejaVu Sans Mono"/>
                <w:sz w:val="15"/>
              </w:rPr>
              <w:br/>
              <w:t xml:space="preserve">    gd.withColumn("ordem", row_number().over(janela_gd))</w:t>
            </w:r>
            <w:r>
              <w:rPr>
                <w:rFonts w:ascii="DejaVu Sans Mono" w:hAnsi="DejaVu Sans Mono"/>
                <w:sz w:val="15"/>
              </w:rPr>
              <w:br/>
              <w:t xml:space="preserve">      .filter(col("ordem") == 1)</w:t>
            </w:r>
            <w:r>
              <w:rPr>
                <w:rFonts w:ascii="DejaVu Sans Mono" w:hAnsi="DejaVu Sans Mono"/>
                <w:sz w:val="15"/>
              </w:rPr>
              <w:br/>
              <w:t xml:space="preserve">      .drop("ordem")</w:t>
            </w:r>
            <w:r>
              <w:rPr>
                <w:rFonts w:ascii="DejaVu Sans Mono" w:hAnsi="DejaVu Sans Mono"/>
                <w:sz w:val="15"/>
              </w:rPr>
              <w:br/>
              <w:t>)</w:t>
            </w:r>
          </w:p>
        </w:tc>
      </w:tr>
    </w:tbl>
    <w:p w14:paraId="08E1FABD" w14:textId="77777777" w:rsidR="007937E9" w:rsidRDefault="007937E9">
      <w:pPr>
        <w:rPr>
          <w:rFonts w:hint="eastAsia"/>
        </w:rPr>
      </w:pPr>
    </w:p>
    <w:p w14:paraId="605CE7B8" w14:textId="77777777" w:rsidR="007937E9" w:rsidRDefault="00000000">
      <w:pPr>
        <w:pStyle w:val="Ttulo2"/>
        <w:spacing w:before="180" w:after="120"/>
      </w:pPr>
      <w:r>
        <w:rPr>
          <w:rFonts w:ascii="Liberation Serif" w:hAnsi="Liberation Serif"/>
        </w:rPr>
        <w:t>B.4 Construção dos dois ramos e união da Delivery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7937E9" w14:paraId="149F209D" w14:textId="77777777">
        <w:trPr>
          <w:jc w:val="center"/>
        </w:trPr>
        <w:tc>
          <w:tcPr>
            <w:tcW w:w="9071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326D7C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sz w:val="15"/>
              </w:rPr>
              <w:t>delivery_cnpj = rec_cnpj.join(</w:t>
            </w:r>
            <w:r>
              <w:rPr>
                <w:rFonts w:ascii="DejaVu Sans Mono" w:hAnsi="DejaVu Sans Mono"/>
                <w:sz w:val="15"/>
              </w:rPr>
              <w:br/>
              <w:t xml:space="preserve">    enq_canonico, on="cnpj_chave", how="left"</w:t>
            </w:r>
            <w:r>
              <w:rPr>
                <w:rFonts w:ascii="DejaVu Sans Mono" w:hAnsi="DejaVu Sans Mono"/>
                <w:sz w:val="15"/>
              </w:rPr>
              <w:br/>
              <w:t>)</w:t>
            </w:r>
            <w:r>
              <w:rPr>
                <w:rFonts w:ascii="DejaVu Sans Mono" w:hAnsi="DejaVu Sans Mono"/>
                <w:sz w:val="15"/>
              </w:rPr>
              <w:br/>
            </w:r>
            <w:r>
              <w:rPr>
                <w:rFonts w:ascii="DejaVu Sans Mono" w:hAnsi="DejaVu Sans Mono"/>
                <w:sz w:val="15"/>
              </w:rPr>
              <w:br/>
              <w:t>delivery_nome = rec_nome.join(</w:t>
            </w:r>
            <w:r>
              <w:rPr>
                <w:rFonts w:ascii="DejaVu Sans Mono" w:hAnsi="DejaVu Sans Mono"/>
                <w:sz w:val="15"/>
              </w:rPr>
              <w:br/>
              <w:t xml:space="preserve">    gd_canonico, on="nome_chave", how="left"</w:t>
            </w:r>
            <w:r>
              <w:rPr>
                <w:rFonts w:ascii="DejaVu Sans Mono" w:hAnsi="DejaVu Sans Mono"/>
                <w:sz w:val="15"/>
              </w:rPr>
              <w:br/>
              <w:t>)</w:t>
            </w:r>
            <w:r>
              <w:rPr>
                <w:rFonts w:ascii="DejaVu Sans Mono" w:hAnsi="DejaVu Sans Mono"/>
                <w:sz w:val="15"/>
              </w:rPr>
              <w:br/>
            </w:r>
            <w:r>
              <w:rPr>
                <w:rFonts w:ascii="DejaVu Sans Mono" w:hAnsi="DejaVu Sans Mono"/>
                <w:sz w:val="15"/>
              </w:rPr>
              <w:br/>
              <w:t>delivery = delivery_cnpj.unionByName(</w:t>
            </w:r>
            <w:r>
              <w:rPr>
                <w:rFonts w:ascii="DejaVu Sans Mono" w:hAnsi="DejaVu Sans Mono"/>
                <w:sz w:val="15"/>
              </w:rPr>
              <w:br/>
              <w:t xml:space="preserve">    delivery_nome, allowMissingColumns=True</w:t>
            </w:r>
            <w:r>
              <w:rPr>
                <w:rFonts w:ascii="DejaVu Sans Mono" w:hAnsi="DejaVu Sans Mono"/>
                <w:sz w:val="15"/>
              </w:rPr>
              <w:br/>
              <w:t>)</w:t>
            </w:r>
            <w:r>
              <w:rPr>
                <w:rFonts w:ascii="DejaVu Sans Mono" w:hAnsi="DejaVu Sans Mono"/>
                <w:sz w:val="15"/>
              </w:rPr>
              <w:br/>
            </w:r>
            <w:r>
              <w:rPr>
                <w:rFonts w:ascii="DejaVu Sans Mono" w:hAnsi="DejaVu Sans Mono"/>
                <w:sz w:val="15"/>
              </w:rPr>
              <w:br/>
              <w:t>if delivery.count() != 918:</w:t>
            </w:r>
            <w:r>
              <w:rPr>
                <w:rFonts w:ascii="DejaVu Sans Mono" w:hAnsi="DejaVu Sans Mono"/>
                <w:sz w:val="15"/>
              </w:rPr>
              <w:br/>
              <w:t xml:space="preserve">    raise RuntimeError("Cardinalidade incorreta na Delivery")</w:t>
            </w:r>
          </w:p>
        </w:tc>
      </w:tr>
    </w:tbl>
    <w:p w14:paraId="37B2F676" w14:textId="77777777" w:rsidR="007937E9" w:rsidRDefault="007937E9">
      <w:pPr>
        <w:rPr>
          <w:rFonts w:hint="eastAsia"/>
        </w:rPr>
      </w:pPr>
    </w:p>
    <w:p w14:paraId="67A5D505" w14:textId="77777777" w:rsidR="007937E9" w:rsidRDefault="00000000">
      <w:pPr>
        <w:pStyle w:val="Ttulo2"/>
        <w:spacing w:before="180" w:after="120"/>
      </w:pPr>
      <w:r>
        <w:rPr>
          <w:rFonts w:ascii="Liberation Serif" w:hAnsi="Liberation Serif"/>
        </w:rPr>
        <w:t>B.5 Persistência da Delivery no PostgreSQL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7937E9" w14:paraId="338BB3CB" w14:textId="77777777">
        <w:trPr>
          <w:jc w:val="center"/>
        </w:trPr>
        <w:tc>
          <w:tcPr>
            <w:tcW w:w="9071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EA1DF2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sz w:val="15"/>
              </w:rPr>
              <w:t>delivery.write.mode("overwrite").jdbc(</w:t>
            </w:r>
            <w:r>
              <w:rPr>
                <w:rFonts w:ascii="DejaVu Sans Mono" w:hAnsi="DejaVu Sans Mono"/>
                <w:sz w:val="15"/>
              </w:rPr>
              <w:br/>
              <w:t xml:space="preserve">    url="jdbc:postgresql://postgres:5432/atividade3",</w:t>
            </w:r>
            <w:r>
              <w:rPr>
                <w:rFonts w:ascii="DejaVu Sans Mono" w:hAnsi="DejaVu Sans Mono"/>
                <w:sz w:val="15"/>
              </w:rPr>
              <w:br/>
              <w:t xml:space="preserve">    table="public.delivery_reclamacoes_enriquecidas",</w:t>
            </w:r>
            <w:r>
              <w:rPr>
                <w:rFonts w:ascii="DejaVu Sans Mono" w:hAnsi="DejaVu Sans Mono"/>
                <w:sz w:val="15"/>
              </w:rPr>
              <w:br/>
              <w:t xml:space="preserve">    properties={</w:t>
            </w:r>
            <w:r>
              <w:rPr>
                <w:rFonts w:ascii="DejaVu Sans Mono" w:hAnsi="DejaVu Sans Mono"/>
                <w:sz w:val="15"/>
              </w:rPr>
              <w:br/>
              <w:t xml:space="preserve">        "user": "postgres",</w:t>
            </w:r>
            <w:r>
              <w:rPr>
                <w:rFonts w:ascii="DejaVu Sans Mono" w:hAnsi="DejaVu Sans Mono"/>
                <w:sz w:val="15"/>
              </w:rPr>
              <w:br/>
              <w:t xml:space="preserve">        "password": "postgres",</w:t>
            </w:r>
            <w:r>
              <w:rPr>
                <w:rFonts w:ascii="DejaVu Sans Mono" w:hAnsi="DejaVu Sans Mono"/>
                <w:sz w:val="15"/>
              </w:rPr>
              <w:br/>
              <w:t xml:space="preserve">        "driver": "org.postgresql.Driver"</w:t>
            </w:r>
            <w:r>
              <w:rPr>
                <w:rFonts w:ascii="DejaVu Sans Mono" w:hAnsi="DejaVu Sans Mono"/>
                <w:sz w:val="15"/>
              </w:rPr>
              <w:br/>
              <w:t xml:space="preserve">    }</w:t>
            </w:r>
            <w:r>
              <w:rPr>
                <w:rFonts w:ascii="DejaVu Sans Mono" w:hAnsi="DejaVu Sans Mono"/>
                <w:sz w:val="15"/>
              </w:rPr>
              <w:br/>
              <w:t>)</w:t>
            </w:r>
          </w:p>
        </w:tc>
      </w:tr>
    </w:tbl>
    <w:p w14:paraId="117D3549" w14:textId="77777777" w:rsidR="007937E9" w:rsidRDefault="007937E9">
      <w:pPr>
        <w:rPr>
          <w:rFonts w:hint="eastAsia"/>
        </w:rPr>
      </w:pPr>
    </w:p>
    <w:p w14:paraId="0B71F063" w14:textId="77777777" w:rsidR="007937E9" w:rsidRDefault="00000000">
      <w:pPr>
        <w:pStyle w:val="Ttulo2"/>
        <w:spacing w:before="180" w:after="120"/>
      </w:pPr>
      <w:r>
        <w:rPr>
          <w:rFonts w:ascii="Liberation Serif" w:hAnsi="Liberation Serif"/>
        </w:rPr>
        <w:t>B.6 Critérios da validação final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7937E9" w14:paraId="37617B78" w14:textId="77777777">
        <w:trPr>
          <w:jc w:val="center"/>
        </w:trPr>
        <w:tc>
          <w:tcPr>
            <w:tcW w:w="9071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1FC8A7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rFonts w:ascii="DejaVu Sans Mono" w:hAnsi="DejaVu Sans Mono"/>
                <w:sz w:val="15"/>
              </w:rPr>
              <w:t>validar_valor("Delivery - registros", delivery.count(), 918)</w:t>
            </w:r>
            <w:r>
              <w:rPr>
                <w:rFonts w:ascii="DejaVu Sans Mono" w:hAnsi="DejaVu Sans Mono"/>
                <w:sz w:val="15"/>
              </w:rPr>
              <w:br/>
              <w:t>validar_valor("Delivery - colunas", len(delivery.columns), 47)</w:t>
            </w:r>
            <w:r>
              <w:rPr>
                <w:rFonts w:ascii="DejaVu Sans Mono" w:hAnsi="DejaVu Sans Mono"/>
                <w:sz w:val="15"/>
              </w:rPr>
              <w:br/>
              <w:t>validar_valor("PostgreSQL - registros", postgres.count(), 918)</w:t>
            </w:r>
            <w:r>
              <w:rPr>
                <w:rFonts w:ascii="DejaVu Sans Mono" w:hAnsi="DejaVu Sans Mono"/>
                <w:sz w:val="15"/>
              </w:rPr>
              <w:br/>
            </w:r>
            <w:r>
              <w:rPr>
                <w:rFonts w:ascii="DejaVu Sans Mono" w:hAnsi="DejaVu Sans Mono"/>
                <w:sz w:val="15"/>
              </w:rPr>
              <w:lastRenderedPageBreak/>
              <w:t>validar_valor("CNPJ_ENQUADRAMENTO", 437, 437)</w:t>
            </w:r>
            <w:r>
              <w:rPr>
                <w:rFonts w:ascii="DejaVu Sans Mono" w:hAnsi="DejaVu Sans Mono"/>
                <w:sz w:val="15"/>
              </w:rPr>
              <w:br/>
              <w:t>validar_valor("NOME_GLASSDOOR", 481, 481)</w:t>
            </w:r>
            <w:r>
              <w:rPr>
                <w:rFonts w:ascii="DejaVu Sans Mono" w:hAnsi="DejaVu Sans Mono"/>
                <w:sz w:val="15"/>
              </w:rPr>
              <w:br/>
              <w:t>validar_valor("Linhas com Enquadramento", 321, 321)</w:t>
            </w:r>
            <w:r>
              <w:rPr>
                <w:rFonts w:ascii="DejaVu Sans Mono" w:hAnsi="DejaVu Sans Mono"/>
                <w:sz w:val="15"/>
              </w:rPr>
              <w:br/>
              <w:t>validar_valor("Linhas com Glassdoor", 113, 113)</w:t>
            </w:r>
            <w:r>
              <w:rPr>
                <w:rFonts w:ascii="DejaVu Sans Mono" w:hAnsi="DejaVu Sans Mono"/>
                <w:sz w:val="15"/>
              </w:rPr>
              <w:br/>
            </w:r>
            <w:r>
              <w:rPr>
                <w:rFonts w:ascii="DejaVu Sans Mono" w:hAnsi="DejaVu Sans Mono"/>
                <w:sz w:val="15"/>
              </w:rPr>
              <w:br/>
              <w:t>print("VALIDACAO_FINAL_PIPELINE_OK")</w:t>
            </w:r>
          </w:p>
        </w:tc>
      </w:tr>
    </w:tbl>
    <w:p w14:paraId="31CA8B67" w14:textId="77777777" w:rsidR="007937E9" w:rsidRDefault="007937E9">
      <w:pPr>
        <w:rPr>
          <w:rFonts w:hint="eastAsia"/>
        </w:rPr>
      </w:pPr>
    </w:p>
    <w:p w14:paraId="4252BBF8" w14:textId="77777777" w:rsidR="007937E9" w:rsidRDefault="00000000">
      <w:pPr>
        <w:pStyle w:val="Ttulo1"/>
        <w:spacing w:before="240" w:after="120"/>
      </w:pPr>
      <w:r>
        <w:rPr>
          <w:rFonts w:ascii="Liberation Serif" w:hAnsi="Liberation Serif"/>
        </w:rPr>
        <w:t>APÊNDICE C - RELAÇÃO DAS EVIDÊNCIAS TÉCNICAS</w:t>
      </w:r>
    </w:p>
    <w:p w14:paraId="7B01F2DB" w14:textId="77777777" w:rsidR="007937E9" w:rsidRDefault="00000000">
      <w:pPr>
        <w:ind w:firstLine="709"/>
        <w:jc w:val="both"/>
        <w:rPr>
          <w:rFonts w:hint="eastAsia"/>
        </w:rPr>
      </w:pPr>
      <w:r>
        <w:t>A estrutura final das evidências foi reorganizada para refletir a execução validada. O quadro abaixo apresenta os principais arquivos utilizados na compatibilização deste relatório. Logs intermediários de erro foram mantidos quando relevantes para justificar as correções adotadas.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520"/>
        <w:gridCol w:w="2268"/>
      </w:tblGrid>
      <w:tr w:rsidR="007937E9" w14:paraId="2EB541F0" w14:textId="77777777">
        <w:trPr>
          <w:tblHeader/>
          <w:jc w:val="center"/>
        </w:trPr>
        <w:tc>
          <w:tcPr>
            <w:tcW w:w="652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CEACA1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Evidência</w:t>
            </w:r>
          </w:p>
        </w:tc>
        <w:tc>
          <w:tcPr>
            <w:tcW w:w="2268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C153B6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Etapa</w:t>
            </w:r>
          </w:p>
        </w:tc>
      </w:tr>
      <w:tr w:rsidR="007937E9" w14:paraId="7A1D08F2" w14:textId="77777777">
        <w:trPr>
          <w:jc w:val="center"/>
        </w:trPr>
        <w:tc>
          <w:tcPr>
            <w:tcW w:w="6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AF5F56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01_ambiente/docker_version.txt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E96D90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Ambiente</w:t>
            </w:r>
          </w:p>
        </w:tc>
      </w:tr>
      <w:tr w:rsidR="007937E9" w14:paraId="6EA71BF8" w14:textId="77777777">
        <w:trPr>
          <w:jc w:val="center"/>
        </w:trPr>
        <w:tc>
          <w:tcPr>
            <w:tcW w:w="6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ED31BC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01_ambiente/docker_compose_version.txt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9E306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Ambiente</w:t>
            </w:r>
          </w:p>
        </w:tc>
      </w:tr>
      <w:tr w:rsidR="007937E9" w14:paraId="10F1FD5F" w14:textId="77777777">
        <w:trPr>
          <w:jc w:val="center"/>
        </w:trPr>
        <w:tc>
          <w:tcPr>
            <w:tcW w:w="6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E8DB2D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02_docker/E03_docker_compose_ps.txt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2D1E58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Docker</w:t>
            </w:r>
          </w:p>
        </w:tc>
      </w:tr>
      <w:tr w:rsidR="007937E9" w14:paraId="5ED25758" w14:textId="77777777">
        <w:trPr>
          <w:jc w:val="center"/>
        </w:trPr>
        <w:tc>
          <w:tcPr>
            <w:tcW w:w="6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91F277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02_docker/E06_docker-compose_postgres.yml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0F879D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Docker</w:t>
            </w:r>
          </w:p>
        </w:tc>
      </w:tr>
      <w:tr w:rsidR="007937E9" w14:paraId="76827F6A" w14:textId="77777777">
        <w:trPr>
          <w:jc w:val="center"/>
        </w:trPr>
        <w:tc>
          <w:tcPr>
            <w:tcW w:w="6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6DA57B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02_docker/E07_docker-compose_com_erro.yml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7249B4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Docker / diagnóstico</w:t>
            </w:r>
          </w:p>
        </w:tc>
      </w:tr>
      <w:tr w:rsidR="007937E9" w14:paraId="11BF9A74" w14:textId="77777777">
        <w:trPr>
          <w:jc w:val="center"/>
        </w:trPr>
        <w:tc>
          <w:tcPr>
            <w:tcW w:w="6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5EFD9F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03_spark/E07_spark_version.txt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3476D4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Spark</w:t>
            </w:r>
          </w:p>
        </w:tc>
      </w:tr>
      <w:tr w:rsidR="007937E9" w14:paraId="0BB683F9" w14:textId="77777777">
        <w:trPr>
          <w:jc w:val="center"/>
        </w:trPr>
        <w:tc>
          <w:tcPr>
            <w:tcW w:w="6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951C25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03_spark/E08_teste_spark.log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65A6A3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Spark</w:t>
            </w:r>
          </w:p>
        </w:tc>
      </w:tr>
      <w:tr w:rsidR="007937E9" w14:paraId="47C3A6B8" w14:textId="77777777">
        <w:trPr>
          <w:jc w:val="center"/>
        </w:trPr>
        <w:tc>
          <w:tcPr>
            <w:tcW w:w="6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F1A93E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04_postgresql/E04_postgresql_version.txt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F69BCC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PostgreSQL</w:t>
            </w:r>
          </w:p>
        </w:tc>
      </w:tr>
      <w:tr w:rsidR="007937E9" w14:paraId="26DA239A" w14:textId="77777777">
        <w:trPr>
          <w:jc w:val="center"/>
        </w:trPr>
        <w:tc>
          <w:tcPr>
            <w:tcW w:w="6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DFB0DE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04_postgresql/E05_postgresql_conexao.txt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910E31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PostgreSQL</w:t>
            </w:r>
          </w:p>
        </w:tc>
      </w:tr>
      <w:tr w:rsidR="007937E9" w14:paraId="2A321046" w14:textId="77777777">
        <w:trPr>
          <w:jc w:val="center"/>
        </w:trPr>
        <w:tc>
          <w:tcPr>
            <w:tcW w:w="6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948E75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04_postgresql/E06_postgresql_healthy.png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29EB3A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PostgreSQL</w:t>
            </w:r>
          </w:p>
        </w:tc>
      </w:tr>
      <w:tr w:rsidR="007937E9" w14:paraId="65D6A6DB" w14:textId="77777777">
        <w:trPr>
          <w:jc w:val="center"/>
        </w:trPr>
        <w:tc>
          <w:tcPr>
            <w:tcW w:w="6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A71F2D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04_postgresql/E25_teste_driver_jdbc.log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63E1B4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JDBC / diagnóstico</w:t>
            </w:r>
          </w:p>
        </w:tc>
      </w:tr>
      <w:tr w:rsidR="007937E9" w14:paraId="6AFA2BE0" w14:textId="77777777">
        <w:trPr>
          <w:jc w:val="center"/>
        </w:trPr>
        <w:tc>
          <w:tcPr>
            <w:tcW w:w="6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CC121F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04_postgresql/E26_teste_driver_jdbc_corrigido.log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E0250D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JDBC</w:t>
            </w:r>
          </w:p>
        </w:tc>
      </w:tr>
      <w:tr w:rsidR="007937E9" w14:paraId="6084BF4D" w14:textId="77777777">
        <w:trPr>
          <w:jc w:val="center"/>
        </w:trPr>
        <w:tc>
          <w:tcPr>
            <w:tcW w:w="6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722D82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04_postgresql/E27_teste_conexao_jdbc_real.log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4894E4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JDBC</w:t>
            </w:r>
          </w:p>
        </w:tc>
      </w:tr>
      <w:tr w:rsidR="007937E9" w14:paraId="42389598" w14:textId="77777777">
        <w:trPr>
          <w:jc w:val="center"/>
        </w:trPr>
        <w:tc>
          <w:tcPr>
            <w:tcW w:w="6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ABC9F5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05_raw/E09_manifesto_arquivos_entrada.csv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6FA5CD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Entrada</w:t>
            </w:r>
          </w:p>
        </w:tc>
      </w:tr>
      <w:tr w:rsidR="007937E9" w14:paraId="678ABDA3" w14:textId="77777777">
        <w:trPr>
          <w:jc w:val="center"/>
        </w:trPr>
        <w:tc>
          <w:tcPr>
            <w:tcW w:w="6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CFC62F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05_raw/E10_verificacao_integridade_copia.csv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F2A402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Integridade</w:t>
            </w:r>
          </w:p>
        </w:tc>
      </w:tr>
      <w:tr w:rsidR="007937E9" w14:paraId="566000BF" w14:textId="77777777">
        <w:trPr>
          <w:jc w:val="center"/>
        </w:trPr>
        <w:tc>
          <w:tcPr>
            <w:tcW w:w="6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99F90B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05_raw/E11_inspecao_arquivos.log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F40B3D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RAW / inspeção</w:t>
            </w:r>
          </w:p>
        </w:tc>
      </w:tr>
      <w:tr w:rsidR="007937E9" w14:paraId="2F9CD6BD" w14:textId="77777777">
        <w:trPr>
          <w:jc w:val="center"/>
        </w:trPr>
        <w:tc>
          <w:tcPr>
            <w:tcW w:w="6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097435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05_raw/E12_validacao_leitura_estruturada.log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BBE068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RAW / leitura</w:t>
            </w:r>
          </w:p>
        </w:tc>
      </w:tr>
      <w:tr w:rsidR="007937E9" w14:paraId="13D044F9" w14:textId="77777777">
        <w:trPr>
          <w:jc w:val="center"/>
        </w:trPr>
        <w:tc>
          <w:tcPr>
            <w:tcW w:w="6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E6EC26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05_raw/E13_teste_encoding_reclamacoes.log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FE3F53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RAW / encoding</w:t>
            </w:r>
          </w:p>
        </w:tc>
      </w:tr>
      <w:tr w:rsidR="007937E9" w14:paraId="67693756" w14:textId="77777777">
        <w:trPr>
          <w:jc w:val="center"/>
        </w:trPr>
        <w:tc>
          <w:tcPr>
            <w:tcW w:w="6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F2B4A3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05_raw/E14_criacao_raw.log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08A32F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RAW</w:t>
            </w:r>
          </w:p>
        </w:tc>
      </w:tr>
      <w:tr w:rsidR="007937E9" w14:paraId="1848AB47" w14:textId="77777777">
        <w:trPr>
          <w:jc w:val="center"/>
        </w:trPr>
        <w:tc>
          <w:tcPr>
            <w:tcW w:w="6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7CC26C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05_raw/E15_validacao_raw.log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3B7D75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RAW</w:t>
            </w:r>
          </w:p>
        </w:tc>
      </w:tr>
      <w:tr w:rsidR="007937E9" w14:paraId="6467DD88" w14:textId="77777777">
        <w:trPr>
          <w:jc w:val="center"/>
        </w:trPr>
        <w:tc>
          <w:tcPr>
            <w:tcW w:w="6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DF77FE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06_trusted/E16_criacao_trusted_reclamacoes.log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0B23C4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Trusted / erro inicial</w:t>
            </w:r>
          </w:p>
        </w:tc>
      </w:tr>
      <w:tr w:rsidR="007937E9" w14:paraId="2E2D21E2" w14:textId="77777777">
        <w:trPr>
          <w:jc w:val="center"/>
        </w:trPr>
        <w:tc>
          <w:tcPr>
            <w:tcW w:w="6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AA79C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06_trusted/E17_diagnostico_indice.log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CF984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Trusted / diagnóstico</w:t>
            </w:r>
          </w:p>
        </w:tc>
      </w:tr>
      <w:tr w:rsidR="007937E9" w14:paraId="2C4CA393" w14:textId="77777777">
        <w:trPr>
          <w:jc w:val="center"/>
        </w:trPr>
        <w:tc>
          <w:tcPr>
            <w:tcW w:w="6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79A848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06_trusted/E18_criacao_trusted_reclamacoes_corrigida.log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398915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Trusted</w:t>
            </w:r>
          </w:p>
        </w:tc>
      </w:tr>
      <w:tr w:rsidR="007937E9" w14:paraId="143548EF" w14:textId="77777777">
        <w:trPr>
          <w:jc w:val="center"/>
        </w:trPr>
        <w:tc>
          <w:tcPr>
            <w:tcW w:w="6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2C1A0B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06_trusted/E19_criacao_trusted_enquadramento.log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EFD118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Trusted</w:t>
            </w:r>
          </w:p>
        </w:tc>
      </w:tr>
      <w:tr w:rsidR="007937E9" w14:paraId="00B63429" w14:textId="77777777">
        <w:trPr>
          <w:jc w:val="center"/>
        </w:trPr>
        <w:tc>
          <w:tcPr>
            <w:tcW w:w="6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3BA9AD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06_trusted/E20_criacao_trusted_glassdoor.log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E93C2C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Trusted</w:t>
            </w:r>
          </w:p>
        </w:tc>
      </w:tr>
      <w:tr w:rsidR="007937E9" w14:paraId="697DEA07" w14:textId="77777777">
        <w:trPr>
          <w:jc w:val="center"/>
        </w:trPr>
        <w:tc>
          <w:tcPr>
            <w:tcW w:w="6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FBCA01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07_delivery/E21_diagnostico_chaves_integracao.log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8182A6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Delivery / chaves</w:t>
            </w:r>
          </w:p>
        </w:tc>
      </w:tr>
      <w:tr w:rsidR="007937E9" w14:paraId="05A09CF4" w14:textId="77777777">
        <w:trPr>
          <w:jc w:val="center"/>
        </w:trPr>
        <w:tc>
          <w:tcPr>
            <w:tcW w:w="6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87F293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07_delivery/E22_diagnostico_estrategia_delivery.log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71B7AF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Delivery / estratégia</w:t>
            </w:r>
          </w:p>
        </w:tc>
      </w:tr>
      <w:tr w:rsidR="007937E9" w14:paraId="3AC59B15" w14:textId="77777777">
        <w:trPr>
          <w:jc w:val="center"/>
        </w:trPr>
        <w:tc>
          <w:tcPr>
            <w:tcW w:w="6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B1F116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07_delivery/E23_criacao_delivery_parquet.log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7ADEE4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Delivery / erro inicial</w:t>
            </w:r>
          </w:p>
        </w:tc>
      </w:tr>
      <w:tr w:rsidR="007937E9" w14:paraId="6A4EFEC3" w14:textId="77777777">
        <w:trPr>
          <w:jc w:val="center"/>
        </w:trPr>
        <w:tc>
          <w:tcPr>
            <w:tcW w:w="6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DB4EB1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07_delivery/E24_criacao_delivery_parquet_corrigida.log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66C2E0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Delivery</w:t>
            </w:r>
          </w:p>
        </w:tc>
      </w:tr>
      <w:tr w:rsidR="007937E9" w14:paraId="71C682F7" w14:textId="77777777">
        <w:trPr>
          <w:jc w:val="center"/>
        </w:trPr>
        <w:tc>
          <w:tcPr>
            <w:tcW w:w="6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90748D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07_delivery/E28_gravacao_delivery_postgresql.log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D42CC7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Delivery / PostgreSQL</w:t>
            </w:r>
          </w:p>
        </w:tc>
      </w:tr>
      <w:tr w:rsidR="007937E9" w14:paraId="0A996F70" w14:textId="77777777">
        <w:trPr>
          <w:jc w:val="center"/>
        </w:trPr>
        <w:tc>
          <w:tcPr>
            <w:tcW w:w="6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9B322B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lastRenderedPageBreak/>
              <w:t>08_validacao/E29_validacao_final_pipeline.log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E07FF3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Validação / diagnóstico</w:t>
            </w:r>
          </w:p>
        </w:tc>
      </w:tr>
      <w:tr w:rsidR="007937E9" w14:paraId="378C75B2" w14:textId="77777777">
        <w:trPr>
          <w:jc w:val="center"/>
        </w:trPr>
        <w:tc>
          <w:tcPr>
            <w:tcW w:w="6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54CD37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08_validacao/E30_diagnostico_unicode.log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51934B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Validação / Unicode</w:t>
            </w:r>
          </w:p>
        </w:tc>
      </w:tr>
      <w:tr w:rsidR="007937E9" w14:paraId="312BCB52" w14:textId="77777777">
        <w:trPr>
          <w:jc w:val="center"/>
        </w:trPr>
        <w:tc>
          <w:tcPr>
            <w:tcW w:w="6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8BF227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08_validacao/E31_diagnostico_encoding_enquadramento.log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D57664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Validação / fonte</w:t>
            </w:r>
          </w:p>
        </w:tc>
      </w:tr>
      <w:tr w:rsidR="007937E9" w14:paraId="6F57273E" w14:textId="77777777">
        <w:trPr>
          <w:jc w:val="center"/>
        </w:trPr>
        <w:tc>
          <w:tcPr>
            <w:tcW w:w="6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23DF54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08_validacao/E32_validacao_final_pipeline_corrigida.log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3B91DB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Validação final</w:t>
            </w:r>
          </w:p>
        </w:tc>
      </w:tr>
      <w:tr w:rsidR="007937E9" w14:paraId="707BE064" w14:textId="77777777">
        <w:trPr>
          <w:jc w:val="center"/>
        </w:trPr>
        <w:tc>
          <w:tcPr>
            <w:tcW w:w="6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896790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08_validacao/E33_tabelas_finais_postgresql.log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56EAD6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Validação PostgreSQL</w:t>
            </w:r>
          </w:p>
        </w:tc>
      </w:tr>
      <w:tr w:rsidR="007937E9" w14:paraId="6392E390" w14:textId="77777777">
        <w:trPr>
          <w:jc w:val="center"/>
        </w:trPr>
        <w:tc>
          <w:tcPr>
            <w:tcW w:w="6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5C5590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09_entrega/E33_tabelas_finais_postgresql.log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4B4B42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Entrega</w:t>
            </w:r>
          </w:p>
        </w:tc>
      </w:tr>
      <w:tr w:rsidR="007937E9" w14:paraId="7484C684" w14:textId="77777777">
        <w:trPr>
          <w:jc w:val="center"/>
        </w:trPr>
        <w:tc>
          <w:tcPr>
            <w:tcW w:w="6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30FB2F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09_entrega/E34_contagem_final_postgresql.log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210335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Entrega</w:t>
            </w:r>
          </w:p>
        </w:tc>
      </w:tr>
      <w:tr w:rsidR="007937E9" w14:paraId="2982DB32" w14:textId="77777777">
        <w:trPr>
          <w:jc w:val="center"/>
        </w:trPr>
        <w:tc>
          <w:tcPr>
            <w:tcW w:w="6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C0B3FC" w14:textId="77777777" w:rsidR="007937E9" w:rsidRDefault="00000000">
            <w:pPr>
              <w:spacing w:line="240" w:lineRule="auto"/>
              <w:rPr>
                <w:rFonts w:hint="eastAsia"/>
              </w:rPr>
            </w:pPr>
            <w:r>
              <w:rPr>
                <w:sz w:val="16"/>
              </w:rPr>
              <w:t>09_entrega/E35_inventario_final.txt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C5921B" w14:textId="77777777" w:rsidR="007937E9" w:rsidRDefault="00000000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Entrega / inventário</w:t>
            </w:r>
          </w:p>
        </w:tc>
      </w:tr>
    </w:tbl>
    <w:p w14:paraId="1C1FC849" w14:textId="77777777" w:rsidR="007937E9" w:rsidRDefault="007937E9">
      <w:pPr>
        <w:rPr>
          <w:rFonts w:hint="eastAsia"/>
        </w:rPr>
      </w:pPr>
    </w:p>
    <w:sectPr w:rsidR="007937E9" w:rsidSect="00034616">
      <w:headerReference w:type="default" r:id="rId19"/>
      <w:footerReference w:type="default" r:id="rId20"/>
      <w:type w:val="continuous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6E181" w14:textId="77777777" w:rsidR="008449FF" w:rsidRDefault="008449F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9B7C684" w14:textId="77777777" w:rsidR="008449FF" w:rsidRDefault="008449F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B57FC" w14:textId="77777777" w:rsidR="007937E9" w:rsidRDefault="00000000">
    <w:pPr>
      <w:pStyle w:val="Rodap"/>
      <w:jc w:val="center"/>
      <w:rPr>
        <w:rFonts w:hint="eastAsia"/>
      </w:rPr>
    </w:pPr>
    <w:r>
      <w:fldChar w:fldCharType="begin"/>
    </w:r>
    <w:r>
      <w:instrText xml:space="preserve"> PAGE </w:instrText>
    </w:r>
    <w:r w:rsidR="000F20F7">
      <w:rPr>
        <w:rFonts w:hint="eastAsia"/>
      </w:rPr>
      <w:fldChar w:fldCharType="separate"/>
    </w:r>
    <w:r w:rsidR="000F20F7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F1AC9" w14:textId="77777777" w:rsidR="008449FF" w:rsidRDefault="008449FF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47DF39E" w14:textId="77777777" w:rsidR="008449FF" w:rsidRDefault="008449FF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EA546" w14:textId="77777777" w:rsidR="007937E9" w:rsidRDefault="00000000">
    <w:pPr>
      <w:pStyle w:val="Cabealho"/>
      <w:jc w:val="right"/>
      <w:rPr>
        <w:rFonts w:hint="eastAsia"/>
      </w:rPr>
    </w:pPr>
    <w:r>
      <w:rPr>
        <w:i/>
        <w:sz w:val="18"/>
      </w:rPr>
      <w:t>Atividade 3 - Ingestão e ETL com Python + Spark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3850471">
    <w:abstractNumId w:val="8"/>
  </w:num>
  <w:num w:numId="2" w16cid:durableId="402531202">
    <w:abstractNumId w:val="6"/>
  </w:num>
  <w:num w:numId="3" w16cid:durableId="89086808">
    <w:abstractNumId w:val="5"/>
  </w:num>
  <w:num w:numId="4" w16cid:durableId="2134514955">
    <w:abstractNumId w:val="4"/>
  </w:num>
  <w:num w:numId="5" w16cid:durableId="1752847271">
    <w:abstractNumId w:val="7"/>
  </w:num>
  <w:num w:numId="6" w16cid:durableId="1040712556">
    <w:abstractNumId w:val="3"/>
  </w:num>
  <w:num w:numId="7" w16cid:durableId="1804083027">
    <w:abstractNumId w:val="2"/>
  </w:num>
  <w:num w:numId="8" w16cid:durableId="964774048">
    <w:abstractNumId w:val="1"/>
  </w:num>
  <w:num w:numId="9" w16cid:durableId="353700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20F7"/>
    <w:rsid w:val="0015074B"/>
    <w:rsid w:val="0029639D"/>
    <w:rsid w:val="00326F90"/>
    <w:rsid w:val="007937E9"/>
    <w:rsid w:val="008449FF"/>
    <w:rsid w:val="00AA1D8D"/>
    <w:rsid w:val="00B47730"/>
    <w:rsid w:val="00CB0664"/>
    <w:rsid w:val="00D24022"/>
    <w:rsid w:val="00E97C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389272"/>
  <w14:defaultImageDpi w14:val="300"/>
  <w15:docId w15:val="{4E23E7F8-022E-4BFE-9861-90C722331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Liberation Serif" w:hAnsi="Liberation Serif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5536</Words>
  <Characters>29900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Breno Tostes Garcia</cp:lastModifiedBy>
  <cp:revision>2</cp:revision>
  <dcterms:created xsi:type="dcterms:W3CDTF">2026-08-17T19:56:00Z</dcterms:created>
  <dcterms:modified xsi:type="dcterms:W3CDTF">2026-08-17T19:56:00Z</dcterms:modified>
  <cp:category/>
</cp:coreProperties>
</file>