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Arial" w:hAnsi="Arial"/>
          <w:b/>
          <w:sz w:val="40"/>
        </w:rPr>
        <w:t>RELATÓRIO DE EVIDÊNCIAS</w:t>
        <w:br/>
        <w:t>ATIVIDADE 6 — PIPELINE EM CLOUD / STREAMING</w:t>
      </w:r>
    </w:p>
    <w:p>
      <w:pPr>
        <w:jc w:val="center"/>
      </w:pPr>
      <w:r>
        <w:rPr>
          <w:b/>
          <w:sz w:val="28"/>
        </w:rPr>
        <w:t>AWS — S3, Lambda, SQS e RDS PostgreSQL</w:t>
      </w:r>
    </w:p>
    <w:p>
      <w:pPr>
        <w:jc w:val="center"/>
      </w:pPr>
      <w:r>
        <w:rPr>
          <w:sz w:val="22"/>
        </w:rPr>
        <w:br/>
        <w:t>Arquitetura validada ponta a ponta em 16 de setembro de 2026</w:t>
      </w:r>
    </w:p>
    <w:p>
      <w:r>
        <w:br w:type="page"/>
      </w:r>
    </w:p>
    <w:p>
      <w:pPr>
        <w:pStyle w:val="Heading1"/>
      </w:pPr>
      <w:r>
        <w:t>1. Objetivo e escopo</w:t>
      </w:r>
    </w:p>
    <w:p>
      <w:r>
        <w:rPr>
          <w:b/>
        </w:rPr>
        <w:t xml:space="preserve">Objetivo. </w:t>
      </w:r>
      <w:r>
        <w:t>Documentar, de forma rastreável, as evidências técnicas do desenvolvimento e da validação da Atividade 6, implementada na AWS com processamento orientado a eventos e mensageria.</w:t>
      </w:r>
    </w:p>
    <w:p>
      <w:r>
        <w:rPr>
          <w:b/>
        </w:rPr>
        <w:t xml:space="preserve">Escopo funcional. </w:t>
      </w:r>
      <w:r>
        <w:t>O pipeline implementado recebe um arquivo CSV no Amazon S3, aciona uma função AWS Lambda produtora, publica um evento por registro no Amazon SQS, aciona uma Lambda consumidora, consulta um banco PostgreSQL no Amazon RDS para enriquecimento e persiste o resultado tratado em um bucket S3 de saída.</w:t>
      </w:r>
    </w:p>
    <w:p>
      <w:pPr>
        <w:pStyle w:val="Heading1"/>
      </w:pPr>
      <w:r>
        <w:t>2. Arquitetura implementada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cantSplit/>
        </w:trPr>
        <w:tc>
          <w:tcPr>
            <w:tcW w:type="dxa" w:w="1392"/>
            <w:vAlign w:val="center"/>
          </w:tcPr>
          <w:p>
            <w:pPr>
              <w:jc w:val="center"/>
            </w:pPr>
            <w:r>
              <w:rPr>
                <w:b/>
                <w:sz w:val="18"/>
              </w:rPr>
              <w:t>S3 Input</w:t>
            </w:r>
          </w:p>
        </w:tc>
        <w:tc>
          <w:tcPr>
            <w:tcW w:type="dxa" w:w="1392"/>
            <w:vAlign w:val="center"/>
          </w:tcPr>
          <w:p>
            <w:pPr>
              <w:jc w:val="center"/>
            </w:pPr>
            <w:r>
              <w:rPr>
                <w:b w:val="0"/>
                <w:sz w:val="18"/>
              </w:rPr>
              <w:t>→</w:t>
            </w:r>
          </w:p>
        </w:tc>
        <w:tc>
          <w:tcPr>
            <w:tcW w:type="dxa" w:w="1392"/>
            <w:vAlign w:val="center"/>
          </w:tcPr>
          <w:p>
            <w:pPr>
              <w:jc w:val="center"/>
            </w:pPr>
            <w:r>
              <w:rPr>
                <w:b/>
                <w:sz w:val="18"/>
              </w:rPr>
              <w:t>Lambda Producer</w:t>
            </w:r>
          </w:p>
        </w:tc>
        <w:tc>
          <w:tcPr>
            <w:tcW w:type="dxa" w:w="1392"/>
            <w:vAlign w:val="center"/>
          </w:tcPr>
          <w:p>
            <w:pPr>
              <w:jc w:val="center"/>
            </w:pPr>
            <w:r>
              <w:rPr>
                <w:b w:val="0"/>
                <w:sz w:val="18"/>
              </w:rPr>
              <w:t>→ SQS →</w:t>
            </w:r>
          </w:p>
        </w:tc>
        <w:tc>
          <w:tcPr>
            <w:tcW w:type="dxa" w:w="1392"/>
            <w:vAlign w:val="center"/>
          </w:tcPr>
          <w:p>
            <w:pPr>
              <w:jc w:val="center"/>
            </w:pPr>
            <w:r>
              <w:rPr>
                <w:b/>
                <w:sz w:val="18"/>
              </w:rPr>
              <w:t>Lambda Consumer</w:t>
            </w:r>
          </w:p>
        </w:tc>
        <w:tc>
          <w:tcPr>
            <w:tcW w:type="dxa" w:w="1392"/>
            <w:vAlign w:val="center"/>
          </w:tcPr>
          <w:p>
            <w:pPr>
              <w:jc w:val="center"/>
            </w:pPr>
            <w:r>
              <w:rPr>
                <w:b w:val="0"/>
                <w:sz w:val="18"/>
              </w:rPr>
              <w:t>→ RDS →</w:t>
            </w:r>
          </w:p>
        </w:tc>
        <w:tc>
          <w:tcPr>
            <w:tcW w:type="dxa" w:w="1392"/>
            <w:vAlign w:val="center"/>
          </w:tcPr>
          <w:p>
            <w:pPr>
              <w:jc w:val="center"/>
            </w:pPr>
            <w:r>
              <w:rPr>
                <w:b/>
                <w:sz w:val="18"/>
              </w:rPr>
              <w:t>S3 Output</w:t>
            </w:r>
          </w:p>
        </w:tc>
      </w:tr>
    </w:tbl>
    <w:p>
      <w:r>
        <w:t>Recursos principais validados:</w:t>
      </w:r>
    </w:p>
    <w:tbl>
      <w:tblPr>
        <w:tblStyle w:val="TableGrid"/>
        <w:tblW w:type="auto" w:w="0"/>
        <w:jc w:val="center"/>
        <w:tblLook w:firstColumn="1" w:firstRow="1" w:lastColumn="0" w:lastRow="0" w:noHBand="0" w:noVBand="1" w:val="04A0"/>
      </w:tblPr>
      <w:tblGrid>
        <w:gridCol w:w="4873"/>
        <w:gridCol w:w="4873"/>
      </w:tblGrid>
      <w:tr>
        <w:trPr>
          <w:cantSplit/>
        </w:trPr>
        <w:tc>
          <w:tcPr>
            <w:tcW w:type="dxa" w:w="4873"/>
          </w:tcPr>
          <w:p>
            <w:r>
              <w:t>Componente</w:t>
            </w:r>
          </w:p>
        </w:tc>
        <w:tc>
          <w:tcPr>
            <w:tcW w:type="dxa" w:w="4873"/>
          </w:tcPr>
          <w:p>
            <w:r>
              <w:t>Identificação</w:t>
            </w:r>
          </w:p>
        </w:tc>
      </w:tr>
      <w:tr>
        <w:trPr>
          <w:cantSplit/>
        </w:trPr>
        <w:tc>
          <w:tcPr>
            <w:tcW w:type="dxa" w:w="4873"/>
          </w:tcPr>
          <w:p>
            <w:r>
              <w:t>Região AWS</w:t>
            </w:r>
          </w:p>
        </w:tc>
        <w:tc>
          <w:tcPr>
            <w:tcW w:type="dxa" w:w="4873"/>
          </w:tcPr>
          <w:p>
            <w:r>
              <w:t>us-east-2 (Ohio)</w:t>
            </w:r>
          </w:p>
        </w:tc>
      </w:tr>
      <w:tr>
        <w:trPr>
          <w:cantSplit/>
        </w:trPr>
        <w:tc>
          <w:tcPr>
            <w:tcW w:type="dxa" w:w="4873"/>
          </w:tcPr>
          <w:p>
            <w:r>
              <w:t>S3 Input</w:t>
            </w:r>
          </w:p>
        </w:tc>
        <w:tc>
          <w:tcPr>
            <w:tcW w:type="dxa" w:w="4873"/>
          </w:tcPr>
          <w:p>
            <w:r>
              <w:t>atividade6-input-041525320433-us-east-2</w:t>
            </w:r>
          </w:p>
        </w:tc>
      </w:tr>
      <w:tr>
        <w:trPr>
          <w:cantSplit/>
        </w:trPr>
        <w:tc>
          <w:tcPr>
            <w:tcW w:type="dxa" w:w="4873"/>
          </w:tcPr>
          <w:p>
            <w:r>
              <w:t>Lambda Producer</w:t>
            </w:r>
          </w:p>
        </w:tc>
        <w:tc>
          <w:tcPr>
            <w:tcW w:type="dxa" w:w="4873"/>
          </w:tcPr>
          <w:p>
            <w:r>
              <w:t>atividade6-producer</w:t>
            </w:r>
          </w:p>
        </w:tc>
      </w:tr>
      <w:tr>
        <w:trPr>
          <w:cantSplit/>
        </w:trPr>
        <w:tc>
          <w:tcPr>
            <w:tcW w:type="dxa" w:w="4873"/>
          </w:tcPr>
          <w:p>
            <w:r>
              <w:t>SQS principal</w:t>
            </w:r>
          </w:p>
        </w:tc>
        <w:tc>
          <w:tcPr>
            <w:tcW w:type="dxa" w:w="4873"/>
          </w:tcPr>
          <w:p>
            <w:r>
              <w:t>atividade6-pipeline-queue</w:t>
            </w:r>
          </w:p>
        </w:tc>
      </w:tr>
      <w:tr>
        <w:trPr>
          <w:cantSplit/>
        </w:trPr>
        <w:tc>
          <w:tcPr>
            <w:tcW w:type="dxa" w:w="4873"/>
          </w:tcPr>
          <w:p>
            <w:r>
              <w:t>DLQ</w:t>
            </w:r>
          </w:p>
        </w:tc>
        <w:tc>
          <w:tcPr>
            <w:tcW w:type="dxa" w:w="4873"/>
          </w:tcPr>
          <w:p>
            <w:r>
              <w:t>atividade6-pipeline-dlq</w:t>
            </w:r>
          </w:p>
        </w:tc>
      </w:tr>
      <w:tr>
        <w:trPr>
          <w:cantSplit/>
        </w:trPr>
        <w:tc>
          <w:tcPr>
            <w:tcW w:type="dxa" w:w="4873"/>
          </w:tcPr>
          <w:p>
            <w:r>
              <w:t>Lambda Consumer</w:t>
            </w:r>
          </w:p>
        </w:tc>
        <w:tc>
          <w:tcPr>
            <w:tcW w:type="dxa" w:w="4873"/>
          </w:tcPr>
          <w:p>
            <w:r>
              <w:t>atividade6-consumer</w:t>
            </w:r>
          </w:p>
        </w:tc>
      </w:tr>
      <w:tr>
        <w:trPr>
          <w:cantSplit/>
        </w:trPr>
        <w:tc>
          <w:tcPr>
            <w:tcW w:type="dxa" w:w="4873"/>
          </w:tcPr>
          <w:p>
            <w:r>
              <w:t>RDS PostgreSQL</w:t>
            </w:r>
          </w:p>
        </w:tc>
        <w:tc>
          <w:tcPr>
            <w:tcW w:type="dxa" w:w="4873"/>
          </w:tcPr>
          <w:p>
            <w:r>
              <w:t>atividade6-postgres</w:t>
            </w:r>
          </w:p>
        </w:tc>
      </w:tr>
      <w:tr>
        <w:trPr>
          <w:cantSplit/>
        </w:trPr>
        <w:tc>
          <w:tcPr>
            <w:tcW w:type="dxa" w:w="4873"/>
          </w:tcPr>
          <w:p>
            <w:r>
              <w:t>S3 Output</w:t>
            </w:r>
          </w:p>
        </w:tc>
        <w:tc>
          <w:tcPr>
            <w:tcW w:type="dxa" w:w="4873"/>
          </w:tcPr>
          <w:p>
            <w:r>
              <w:t>atividade6-output-041525320433-us-east-2</w:t>
            </w:r>
          </w:p>
        </w:tc>
      </w:tr>
    </w:tbl>
    <w:p>
      <w:pPr>
        <w:pStyle w:val="Heading1"/>
      </w:pPr>
      <w:r>
        <w:t>3. Método de desenvolvimento e validação</w:t>
      </w:r>
    </w:p>
    <w:p>
      <w:pPr>
        <w:pStyle w:val="ListNumber"/>
      </w:pPr>
      <w:r>
        <w:t>Recriação dos buckets S3 de entrada e saída, com bloqueio integral de acesso público.</w:t>
      </w:r>
    </w:p>
    <w:p>
      <w:pPr>
        <w:pStyle w:val="ListNumber"/>
      </w:pPr>
      <w:r>
        <w:t>Criação de uma IAM Role específica para as funções Lambda, com políticas de logs, SQS, VPC e acesso mínimo aos buckets e à fila.</w:t>
      </w:r>
    </w:p>
    <w:p>
      <w:pPr>
        <w:pStyle w:val="ListNumber"/>
      </w:pPr>
      <w:r>
        <w:t>Criação da Lambda Producer em Python 3.12 para leitura de CSV, detecção de delimitador e publicação de uma mensagem SQS por registro.</w:t>
      </w:r>
    </w:p>
    <w:p>
      <w:pPr>
        <w:pStyle w:val="ListNumber"/>
      </w:pPr>
      <w:r>
        <w:t>Criação da Lambda Consumer em Python 3.12, incluindo o driver pg8000, conexão ao RDS PostgreSQL, normalização de CNPJ, consulta de enriquecimento e gravação JSON no S3 Output.</w:t>
      </w:r>
    </w:p>
    <w:p>
      <w:pPr>
        <w:pStyle w:val="ListNumber"/>
      </w:pPr>
      <w:r>
        <w:t>Configuração do gatilho S3 ObjectCreated (prefixo eventos/ e sufixo .csv) para a Producer.</w:t>
      </w:r>
    </w:p>
    <w:p>
      <w:pPr>
        <w:pStyle w:val="ListNumber"/>
      </w:pPr>
      <w:r>
        <w:t>Configuração do event source mapping SQS → Consumer com BatchSize=1 e tratamento ReportBatchItemFailures.</w:t>
      </w:r>
    </w:p>
    <w:p>
      <w:pPr>
        <w:pStyle w:val="ListNumber"/>
      </w:pPr>
      <w:r>
        <w:t>Execução de teste ponta a ponta com três registros e verificação de logs, filas, DLQ e objetos gerados no S3.</w:t>
      </w:r>
    </w:p>
    <w:p>
      <w:pPr>
        <w:pStyle w:val="Heading1"/>
      </w:pPr>
      <w:r>
        <w:t>4. Evidências do teste ponta a ponta</w:t>
      </w:r>
    </w:p>
    <w:p>
      <w:r>
        <w:rPr>
          <w:b/>
        </w:rPr>
        <w:t xml:space="preserve">Arquivo de teste: </w:t>
      </w:r>
      <w:r>
        <w:t>eventos-20260916-183840.csv, contendo três registros (REC-E2E-001, REC-E2E-002 e REC-E2E-003).</w:t>
      </w:r>
    </w:p>
    <w:p>
      <w:pPr>
        <w:pStyle w:val="Heading2"/>
      </w:pPr>
      <w:r>
        <w:t>4.1 Producer — leitura do S3 e publicação no SQS</w:t>
      </w:r>
    </w:p>
    <w:tbl>
      <w:tblPr>
        <w:tblStyle w:val="TableGrid"/>
        <w:tblW w:type="auto" w:w="0"/>
        <w:tblLook w:firstColumn="1" w:firstRow="1" w:lastColumn="0" w:lastRow="0" w:noHBand="0" w:noVBand="1" w:val="04A0"/>
      </w:tblPr>
      <w:tblGrid>
        <w:gridCol w:w="3249"/>
        <w:gridCol w:w="3249"/>
        <w:gridCol w:w="3249"/>
      </w:tblGrid>
      <w:tr>
        <w:trPr>
          <w:cantSplit/>
        </w:trPr>
        <w:tc>
          <w:tcPr>
            <w:tcW w:type="dxa" w:w="3249"/>
          </w:tcPr>
          <w:p>
            <w:r>
              <w:t>Horário UTC</w:t>
            </w:r>
          </w:p>
        </w:tc>
        <w:tc>
          <w:tcPr>
            <w:tcW w:type="dxa" w:w="3249"/>
          </w:tcPr>
          <w:p>
            <w:r>
              <w:t>Evento</w:t>
            </w:r>
          </w:p>
        </w:tc>
        <w:tc>
          <w:tcPr>
            <w:tcW w:type="dxa" w:w="3249"/>
          </w:tcPr>
          <w:p>
            <w:r>
              <w:t>Resultado</w:t>
            </w:r>
          </w:p>
        </w:tc>
      </w:tr>
      <w:tr>
        <w:trPr>
          <w:cantSplit/>
        </w:trPr>
        <w:tc>
          <w:tcPr>
            <w:tcW w:type="dxa" w:w="3249"/>
          </w:tcPr>
          <w:p>
            <w:r>
              <w:t>18:38:47</w:t>
            </w:r>
          </w:p>
        </w:tc>
        <w:tc>
          <w:tcPr>
            <w:tcW w:type="dxa" w:w="3249"/>
          </w:tcPr>
          <w:p>
            <w:r>
              <w:t>Arquivo recebido</w:t>
            </w:r>
          </w:p>
        </w:tc>
        <w:tc>
          <w:tcPr>
            <w:tcW w:type="dxa" w:w="3249"/>
          </w:tcPr>
          <w:p>
            <w:r>
              <w:t>eventos/eventos-20260916-183840.csv</w:t>
            </w:r>
          </w:p>
        </w:tc>
      </w:tr>
      <w:tr>
        <w:trPr>
          <w:cantSplit/>
        </w:trPr>
        <w:tc>
          <w:tcPr>
            <w:tcW w:type="dxa" w:w="3249"/>
          </w:tcPr>
          <w:p>
            <w:r>
              <w:t>18:38:48</w:t>
            </w:r>
          </w:p>
        </w:tc>
        <w:tc>
          <w:tcPr>
            <w:tcW w:type="dxa" w:w="3249"/>
          </w:tcPr>
          <w:p>
            <w:r>
              <w:t>Mensagem enviada</w:t>
            </w:r>
          </w:p>
        </w:tc>
        <w:tc>
          <w:tcPr>
            <w:tcW w:type="dxa" w:w="3249"/>
          </w:tcPr>
          <w:p>
            <w:r>
              <w:t>row_number=2</w:t>
            </w:r>
          </w:p>
        </w:tc>
      </w:tr>
      <w:tr>
        <w:trPr>
          <w:cantSplit/>
        </w:trPr>
        <w:tc>
          <w:tcPr>
            <w:tcW w:type="dxa" w:w="3249"/>
          </w:tcPr>
          <w:p>
            <w:r>
              <w:t>18:38:48</w:t>
            </w:r>
          </w:p>
        </w:tc>
        <w:tc>
          <w:tcPr>
            <w:tcW w:type="dxa" w:w="3249"/>
          </w:tcPr>
          <w:p>
            <w:r>
              <w:t>Mensagem enviada</w:t>
            </w:r>
          </w:p>
        </w:tc>
        <w:tc>
          <w:tcPr>
            <w:tcW w:type="dxa" w:w="3249"/>
          </w:tcPr>
          <w:p>
            <w:r>
              <w:t>row_number=3</w:t>
            </w:r>
          </w:p>
        </w:tc>
      </w:tr>
      <w:tr>
        <w:trPr>
          <w:cantSplit/>
        </w:trPr>
        <w:tc>
          <w:tcPr>
            <w:tcW w:type="dxa" w:w="3249"/>
          </w:tcPr>
          <w:p>
            <w:r>
              <w:t>18:38:48</w:t>
            </w:r>
          </w:p>
        </w:tc>
        <w:tc>
          <w:tcPr>
            <w:tcW w:type="dxa" w:w="3249"/>
          </w:tcPr>
          <w:p>
            <w:r>
              <w:t>Mensagem enviada</w:t>
            </w:r>
          </w:p>
        </w:tc>
        <w:tc>
          <w:tcPr>
            <w:tcW w:type="dxa" w:w="3249"/>
          </w:tcPr>
          <w:p>
            <w:r>
              <w:t>row_number=4</w:t>
            </w:r>
          </w:p>
        </w:tc>
      </w:tr>
      <w:tr>
        <w:trPr>
          <w:cantSplit/>
        </w:trPr>
        <w:tc>
          <w:tcPr>
            <w:tcW w:type="dxa" w:w="3249"/>
          </w:tcPr>
          <w:p>
            <w:r>
              <w:t>18:38:48</w:t>
            </w:r>
          </w:p>
        </w:tc>
        <w:tc>
          <w:tcPr>
            <w:tcW w:type="dxa" w:w="3249"/>
          </w:tcPr>
          <w:p>
            <w:r>
              <w:t>Arquivo processado</w:t>
            </w:r>
          </w:p>
        </w:tc>
        <w:tc>
          <w:tcPr>
            <w:tcW w:type="dxa" w:w="3249"/>
          </w:tcPr>
          <w:p>
            <w:r>
              <w:t>mensagens_enviadas=3</w:t>
            </w:r>
          </w:p>
        </w:tc>
      </w:tr>
    </w:tbl>
    <w:p>
      <w:r>
        <w:rPr>
          <w:b/>
        </w:rPr>
        <w:t xml:space="preserve">Conclusão da evidência: </w:t>
      </w:r>
      <w:r>
        <w:t>o upload do CSV disparou a Producer automaticamente e produziu exatamente três mensagens no SQS.</w:t>
      </w:r>
    </w:p>
    <w:p>
      <w:pPr>
        <w:pStyle w:val="Heading2"/>
      </w:pPr>
      <w:r>
        <w:t>4.2 Consumer — consulta ao RDS e enriquecimento</w:t>
      </w:r>
    </w:p>
    <w:tbl>
      <w:tblPr>
        <w:tblStyle w:val="TableGrid"/>
        <w:tblW w:type="auto" w:w="0"/>
        <w:tblLook w:firstColumn="1" w:firstRow="1" w:lastColumn="0" w:lastRow="0" w:noHBand="0" w:noVBand="1" w:val="04A0"/>
      </w:tblPr>
      <w:tblGrid>
        <w:gridCol w:w="1949"/>
        <w:gridCol w:w="1949"/>
        <w:gridCol w:w="1949"/>
        <w:gridCol w:w="1949"/>
        <w:gridCol w:w="1949"/>
      </w:tblGrid>
      <w:tr>
        <w:trPr>
          <w:cantSplit/>
        </w:trPr>
        <w:tc>
          <w:tcPr>
            <w:tcW w:type="dxa" w:w="1949"/>
          </w:tcPr>
          <w:p>
            <w:r>
              <w:t>Protocolo</w:t>
            </w:r>
          </w:p>
        </w:tc>
        <w:tc>
          <w:tcPr>
            <w:tcW w:type="dxa" w:w="1949"/>
          </w:tcPr>
          <w:p>
            <w:r>
              <w:t>CNPJ</w:t>
            </w:r>
          </w:p>
        </w:tc>
        <w:tc>
          <w:tcPr>
            <w:tcW w:type="dxa" w:w="1949"/>
          </w:tcPr>
          <w:p>
            <w:r>
              <w:t>Enriquecido</w:t>
            </w:r>
          </w:p>
        </w:tc>
        <w:tc>
          <w:tcPr>
            <w:tcW w:type="dxa" w:w="1949"/>
          </w:tcPr>
          <w:p>
            <w:r>
              <w:t>Categoria</w:t>
            </w:r>
          </w:p>
        </w:tc>
        <w:tc>
          <w:tcPr>
            <w:tcW w:type="dxa" w:w="1949"/>
          </w:tcPr>
          <w:p>
            <w:r>
              <w:t>Descrição</w:t>
            </w:r>
          </w:p>
        </w:tc>
      </w:tr>
      <w:tr>
        <w:trPr>
          <w:cantSplit/>
        </w:trPr>
        <w:tc>
          <w:tcPr>
            <w:tcW w:type="dxa" w:w="1949"/>
          </w:tcPr>
          <w:p>
            <w:r>
              <w:t>REC-E2E-001</w:t>
            </w:r>
          </w:p>
        </w:tc>
        <w:tc>
          <w:tcPr>
            <w:tcW w:type="dxa" w:w="1949"/>
          </w:tcPr>
          <w:p>
            <w:r>
              <w:t>11.111.111/0001-91</w:t>
            </w:r>
          </w:p>
        </w:tc>
        <w:tc>
          <w:tcPr>
            <w:tcW w:type="dxa" w:w="1949"/>
          </w:tcPr>
          <w:p>
            <w:r>
              <w:t>true</w:t>
            </w:r>
          </w:p>
        </w:tc>
        <w:tc>
          <w:tcPr>
            <w:tcW w:type="dxa" w:w="1949"/>
          </w:tcPr>
          <w:p>
            <w:r>
              <w:t>Servicos</w:t>
            </w:r>
          </w:p>
        </w:tc>
        <w:tc>
          <w:tcPr>
            <w:tcW w:type="dxa" w:w="1949"/>
          </w:tcPr>
          <w:p>
            <w:r>
              <w:t>Empresa Exemplo A</w:t>
            </w:r>
          </w:p>
        </w:tc>
      </w:tr>
      <w:tr>
        <w:trPr>
          <w:cantSplit/>
        </w:trPr>
        <w:tc>
          <w:tcPr>
            <w:tcW w:type="dxa" w:w="1949"/>
          </w:tcPr>
          <w:p>
            <w:r>
              <w:t>REC-E2E-002</w:t>
            </w:r>
          </w:p>
        </w:tc>
        <w:tc>
          <w:tcPr>
            <w:tcW w:type="dxa" w:w="1949"/>
          </w:tcPr>
          <w:p>
            <w:r>
              <w:t>22.222.222/0001-82</w:t>
            </w:r>
          </w:p>
        </w:tc>
        <w:tc>
          <w:tcPr>
            <w:tcW w:type="dxa" w:w="1949"/>
          </w:tcPr>
          <w:p>
            <w:r>
              <w:t>true</w:t>
            </w:r>
          </w:p>
        </w:tc>
        <w:tc>
          <w:tcPr>
            <w:tcW w:type="dxa" w:w="1949"/>
          </w:tcPr>
          <w:p>
            <w:r>
              <w:t>Comercio</w:t>
            </w:r>
          </w:p>
        </w:tc>
        <w:tc>
          <w:tcPr>
            <w:tcW w:type="dxa" w:w="1949"/>
          </w:tcPr>
          <w:p>
            <w:r>
              <w:t>Empresa Exemplo B</w:t>
            </w:r>
          </w:p>
        </w:tc>
      </w:tr>
      <w:tr>
        <w:trPr>
          <w:cantSplit/>
        </w:trPr>
        <w:tc>
          <w:tcPr>
            <w:tcW w:type="dxa" w:w="1949"/>
          </w:tcPr>
          <w:p>
            <w:r>
              <w:t>REC-E2E-003</w:t>
            </w:r>
          </w:p>
        </w:tc>
        <w:tc>
          <w:tcPr>
            <w:tcW w:type="dxa" w:w="1949"/>
          </w:tcPr>
          <w:p>
            <w:r>
              <w:t>99.999.999/0001-99</w:t>
            </w:r>
          </w:p>
        </w:tc>
        <w:tc>
          <w:tcPr>
            <w:tcW w:type="dxa" w:w="1949"/>
          </w:tcPr>
          <w:p>
            <w:r>
              <w:t>false</w:t>
            </w:r>
          </w:p>
        </w:tc>
        <w:tc>
          <w:tcPr>
            <w:tcW w:type="dxa" w:w="1949"/>
          </w:tcPr>
          <w:p>
            <w:r>
              <w:t>—</w:t>
            </w:r>
          </w:p>
        </w:tc>
        <w:tc>
          <w:tcPr>
            <w:tcW w:type="dxa" w:w="1949"/>
          </w:tcPr>
          <w:p>
            <w:r>
              <w:t>—</w:t>
            </w:r>
          </w:p>
        </w:tc>
      </w:tr>
    </w:tbl>
    <w:p>
      <w:r>
        <w:rPr>
          <w:b/>
        </w:rPr>
        <w:t xml:space="preserve">Conclusão da evidência: </w:t>
      </w:r>
      <w:r>
        <w:t>a Consumer processou os três eventos, distinguiu correspondência e ausência de correspondência no dado mestre e gravou todos os resultados no S3 Output.</w:t>
      </w:r>
    </w:p>
    <w:p>
      <w:pPr>
        <w:pStyle w:val="Heading2"/>
      </w:pPr>
      <w:r>
        <w:t>4.3 Filas e tolerância a falhas</w:t>
      </w:r>
    </w:p>
    <w:tbl>
      <w:tblPr>
        <w:tblStyle w:val="TableGrid"/>
        <w:tblW w:type="auto" w:w="0"/>
        <w:tblLook w:firstColumn="1" w:firstRow="1" w:lastColumn="0" w:lastRow="0" w:noHBand="0" w:noVBand="1" w:val="04A0"/>
      </w:tblPr>
      <w:tblGrid>
        <w:gridCol w:w="3249"/>
        <w:gridCol w:w="3249"/>
        <w:gridCol w:w="3249"/>
      </w:tblGrid>
      <w:tr>
        <w:trPr>
          <w:cantSplit/>
        </w:trPr>
        <w:tc>
          <w:tcPr>
            <w:tcW w:type="dxa" w:w="3249"/>
          </w:tcPr>
          <w:p>
            <w:r>
              <w:t>Indicador</w:t>
            </w:r>
          </w:p>
        </w:tc>
        <w:tc>
          <w:tcPr>
            <w:tcW w:type="dxa" w:w="3249"/>
          </w:tcPr>
          <w:p>
            <w:r>
              <w:t>Resultado final</w:t>
            </w:r>
          </w:p>
        </w:tc>
        <w:tc>
          <w:tcPr>
            <w:tcW w:type="dxa" w:w="3249"/>
          </w:tcPr>
          <w:p>
            <w:r>
              <w:t>Interpretação</w:t>
            </w:r>
          </w:p>
        </w:tc>
      </w:tr>
      <w:tr>
        <w:trPr>
          <w:cantSplit/>
        </w:trPr>
        <w:tc>
          <w:tcPr>
            <w:tcW w:type="dxa" w:w="3249"/>
          </w:tcPr>
          <w:p>
            <w:r>
              <w:t>Mensagens disponíveis na fila principal</w:t>
            </w:r>
          </w:p>
        </w:tc>
        <w:tc>
          <w:tcPr>
            <w:tcW w:type="dxa" w:w="3249"/>
          </w:tcPr>
          <w:p>
            <w:r>
              <w:t>0</w:t>
            </w:r>
          </w:p>
        </w:tc>
        <w:tc>
          <w:tcPr>
            <w:tcW w:type="dxa" w:w="3249"/>
          </w:tcPr>
          <w:p>
            <w:r>
              <w:t>Nenhuma mensagem ficou pendente.</w:t>
            </w:r>
          </w:p>
        </w:tc>
      </w:tr>
      <w:tr>
        <w:trPr>
          <w:cantSplit/>
        </w:trPr>
        <w:tc>
          <w:tcPr>
            <w:tcW w:type="dxa" w:w="3249"/>
          </w:tcPr>
          <w:p>
            <w:r>
              <w:t>Mensagens em voo</w:t>
            </w:r>
          </w:p>
        </w:tc>
        <w:tc>
          <w:tcPr>
            <w:tcW w:type="dxa" w:w="3249"/>
          </w:tcPr>
          <w:p>
            <w:r>
              <w:t>0</w:t>
            </w:r>
          </w:p>
        </w:tc>
        <w:tc>
          <w:tcPr>
            <w:tcW w:type="dxa" w:w="3249"/>
          </w:tcPr>
          <w:p>
            <w:r>
              <w:t>Nenhuma mensagem ficou em processamento.</w:t>
            </w:r>
          </w:p>
        </w:tc>
      </w:tr>
      <w:tr>
        <w:trPr>
          <w:cantSplit/>
        </w:trPr>
        <w:tc>
          <w:tcPr>
            <w:tcW w:type="dxa" w:w="3249"/>
          </w:tcPr>
          <w:p>
            <w:r>
              <w:t>Mensagens na DLQ</w:t>
            </w:r>
          </w:p>
        </w:tc>
        <w:tc>
          <w:tcPr>
            <w:tcW w:type="dxa" w:w="3249"/>
          </w:tcPr>
          <w:p>
            <w:r>
              <w:t>0</w:t>
            </w:r>
          </w:p>
        </w:tc>
        <w:tc>
          <w:tcPr>
            <w:tcW w:type="dxa" w:w="3249"/>
          </w:tcPr>
          <w:p>
            <w:r>
              <w:t>Nenhum registro excedeu o limite de falhas.</w:t>
            </w:r>
          </w:p>
        </w:tc>
      </w:tr>
      <w:tr>
        <w:trPr>
          <w:cantSplit/>
        </w:trPr>
        <w:tc>
          <w:tcPr>
            <w:tcW w:type="dxa" w:w="3249"/>
          </w:tcPr>
          <w:p>
            <w:r>
              <w:t>RedrivePolicy</w:t>
            </w:r>
          </w:p>
        </w:tc>
        <w:tc>
          <w:tcPr>
            <w:tcW w:type="dxa" w:w="3249"/>
          </w:tcPr>
          <w:p>
            <w:r>
              <w:t>maxReceiveCount=5</w:t>
            </w:r>
          </w:p>
        </w:tc>
        <w:tc>
          <w:tcPr>
            <w:tcW w:type="dxa" w:w="3249"/>
          </w:tcPr>
          <w:p>
            <w:r>
              <w:t>A fila principal possui política de redirecionamento para DLQ.</w:t>
            </w:r>
          </w:p>
        </w:tc>
      </w:tr>
    </w:tbl>
    <w:p>
      <w:pPr>
        <w:pStyle w:val="Heading2"/>
      </w:pPr>
      <w:r>
        <w:t>4.4 Persistência no S3 Output</w:t>
      </w:r>
    </w:p>
    <w:p>
      <w:r>
        <w:t>A contagem de objetos no prefixo processed/ passou de 1 para 4, correspondendo a exatamente três novos arquivos JSON gerados pelo teste. Os três objetos foram:</w:t>
      </w:r>
    </w:p>
    <w:p>
      <w:pPr>
        <w:pStyle w:val="ListBullet"/>
      </w:pPr>
      <w:r>
        <w:t>processed/2026/09/16/REC-E2E-001-d8debbaf25dc47c9a557df400d0258aa.json</w:t>
      </w:r>
    </w:p>
    <w:p>
      <w:pPr>
        <w:pStyle w:val="ListBullet"/>
      </w:pPr>
      <w:r>
        <w:t>processed/2026/09/16/REC-E2E-002-eb1ae8a953454cb3ad0826ebd00b3f46.json</w:t>
      </w:r>
    </w:p>
    <w:p>
      <w:pPr>
        <w:pStyle w:val="ListBullet"/>
      </w:pPr>
      <w:r>
        <w:t>processed/2026/09/16/REC-E2E-003-26490fa4b592426788f90553413c99e2.json</w:t>
      </w:r>
    </w:p>
    <w:p>
      <w:pPr>
        <w:pStyle w:val="Heading1"/>
        <w:pageBreakBefore/>
      </w:pPr>
      <w:r>
        <w:t>5. Matriz consolidada de evidências</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2436"/>
          </w:tcPr>
          <w:p>
            <w:r>
              <w:t>ID</w:t>
            </w:r>
          </w:p>
        </w:tc>
        <w:tc>
          <w:tcPr>
            <w:tcW w:type="dxa" w:w="2436"/>
          </w:tcPr>
          <w:p>
            <w:r>
              <w:t>Evidência</w:t>
            </w:r>
          </w:p>
        </w:tc>
        <w:tc>
          <w:tcPr>
            <w:tcW w:type="dxa" w:w="2436"/>
          </w:tcPr>
          <w:p>
            <w:r>
              <w:t>Resultado</w:t>
            </w:r>
          </w:p>
        </w:tc>
        <w:tc>
          <w:tcPr>
            <w:tcW w:type="dxa" w:w="2436"/>
          </w:tcPr>
          <w:p>
            <w:r>
              <w:t>Status</w:t>
            </w:r>
          </w:p>
        </w:tc>
      </w:tr>
      <w:tr>
        <w:trPr>
          <w:cantSplit/>
        </w:trPr>
        <w:tc>
          <w:tcPr>
            <w:tcW w:type="dxa" w:w="2436"/>
          </w:tcPr>
          <w:p>
            <w:r>
              <w:t>EV-01</w:t>
            </w:r>
          </w:p>
        </w:tc>
        <w:tc>
          <w:tcPr>
            <w:tcW w:type="dxa" w:w="2436"/>
          </w:tcPr>
          <w:p>
            <w:r>
              <w:t>Bucket de entrada criado e bloqueado para acesso público</w:t>
            </w:r>
          </w:p>
        </w:tc>
        <w:tc>
          <w:tcPr>
            <w:tcW w:type="dxa" w:w="2436"/>
          </w:tcPr>
          <w:p>
            <w:r>
              <w:t>atividade6-input-041525320433-us-east-2</w:t>
            </w:r>
          </w:p>
        </w:tc>
        <w:tc>
          <w:tcPr>
            <w:tcW w:type="dxa" w:w="2436"/>
          </w:tcPr>
          <w:p>
            <w:r>
              <w:t>Validado</w:t>
            </w:r>
          </w:p>
        </w:tc>
      </w:tr>
      <w:tr>
        <w:trPr>
          <w:cantSplit/>
        </w:trPr>
        <w:tc>
          <w:tcPr>
            <w:tcW w:type="dxa" w:w="2436"/>
          </w:tcPr>
          <w:p>
            <w:r>
              <w:t>EV-02</w:t>
            </w:r>
          </w:p>
        </w:tc>
        <w:tc>
          <w:tcPr>
            <w:tcW w:type="dxa" w:w="2436"/>
          </w:tcPr>
          <w:p>
            <w:r>
              <w:t>Role Lambda com políticas básicas, SQS, VPC e política inline de dados</w:t>
            </w:r>
          </w:p>
        </w:tc>
        <w:tc>
          <w:tcPr>
            <w:tcW w:type="dxa" w:w="2436"/>
          </w:tcPr>
          <w:p>
            <w:r>
              <w:t>atividade6-lambda-role</w:t>
            </w:r>
          </w:p>
        </w:tc>
        <w:tc>
          <w:tcPr>
            <w:tcW w:type="dxa" w:w="2436"/>
          </w:tcPr>
          <w:p>
            <w:r>
              <w:t>Validado</w:t>
            </w:r>
          </w:p>
        </w:tc>
      </w:tr>
      <w:tr>
        <w:trPr>
          <w:cantSplit/>
        </w:trPr>
        <w:tc>
          <w:tcPr>
            <w:tcW w:type="dxa" w:w="2436"/>
          </w:tcPr>
          <w:p>
            <w:r>
              <w:t>EV-03</w:t>
            </w:r>
          </w:p>
        </w:tc>
        <w:tc>
          <w:tcPr>
            <w:tcW w:type="dxa" w:w="2436"/>
          </w:tcPr>
          <w:p>
            <w:r>
              <w:t>Função ativa em Python 3.12 e configurada com a URL da fila</w:t>
            </w:r>
          </w:p>
        </w:tc>
        <w:tc>
          <w:tcPr>
            <w:tcW w:type="dxa" w:w="2436"/>
          </w:tcPr>
          <w:p>
            <w:r>
              <w:t>atividade6-producer</w:t>
            </w:r>
          </w:p>
        </w:tc>
        <w:tc>
          <w:tcPr>
            <w:tcW w:type="dxa" w:w="2436"/>
          </w:tcPr>
          <w:p>
            <w:r>
              <w:t>Validado</w:t>
            </w:r>
          </w:p>
        </w:tc>
      </w:tr>
      <w:tr>
        <w:trPr>
          <w:cantSplit/>
        </w:trPr>
        <w:tc>
          <w:tcPr>
            <w:tcW w:type="dxa" w:w="2436"/>
          </w:tcPr>
          <w:p>
            <w:r>
              <w:t>EV-04</w:t>
            </w:r>
          </w:p>
        </w:tc>
        <w:tc>
          <w:tcPr>
            <w:tcW w:type="dxa" w:w="2436"/>
          </w:tcPr>
          <w:p>
            <w:r>
              <w:t>Notificação ObjectCreated para prefixo eventos/ e sufixo .csv</w:t>
            </w:r>
          </w:p>
        </w:tc>
        <w:tc>
          <w:tcPr>
            <w:tcW w:type="dxa" w:w="2436"/>
          </w:tcPr>
          <w:p>
            <w:r>
              <w:t>atividade6-eventos-csv</w:t>
            </w:r>
          </w:p>
        </w:tc>
        <w:tc>
          <w:tcPr>
            <w:tcW w:type="dxa" w:w="2436"/>
          </w:tcPr>
          <w:p>
            <w:r>
              <w:t>Validado</w:t>
            </w:r>
          </w:p>
        </w:tc>
      </w:tr>
      <w:tr>
        <w:trPr>
          <w:cantSplit/>
        </w:trPr>
        <w:tc>
          <w:tcPr>
            <w:tcW w:type="dxa" w:w="2436"/>
          </w:tcPr>
          <w:p>
            <w:r>
              <w:t>EV-05</w:t>
            </w:r>
          </w:p>
        </w:tc>
        <w:tc>
          <w:tcPr>
            <w:tcW w:type="dxa" w:w="2436"/>
          </w:tcPr>
          <w:p>
            <w:r>
              <w:t>Fila principal com DLQ e maxReceiveCount=5</w:t>
            </w:r>
          </w:p>
        </w:tc>
        <w:tc>
          <w:tcPr>
            <w:tcW w:type="dxa" w:w="2436"/>
          </w:tcPr>
          <w:p>
            <w:r>
              <w:t>atividade6-pipeline-queue</w:t>
            </w:r>
          </w:p>
        </w:tc>
        <w:tc>
          <w:tcPr>
            <w:tcW w:type="dxa" w:w="2436"/>
          </w:tcPr>
          <w:p>
            <w:r>
              <w:t>Validado</w:t>
            </w:r>
          </w:p>
        </w:tc>
      </w:tr>
      <w:tr>
        <w:trPr>
          <w:cantSplit/>
        </w:trPr>
        <w:tc>
          <w:tcPr>
            <w:tcW w:type="dxa" w:w="2436"/>
          </w:tcPr>
          <w:p>
            <w:r>
              <w:t>EV-06</w:t>
            </w:r>
          </w:p>
        </w:tc>
        <w:tc>
          <w:tcPr>
            <w:tcW w:type="dxa" w:w="2436"/>
          </w:tcPr>
          <w:p>
            <w:r>
              <w:t>Event source mapping Enabled, BatchSize=1</w:t>
            </w:r>
          </w:p>
        </w:tc>
        <w:tc>
          <w:tcPr>
            <w:tcW w:type="dxa" w:w="2436"/>
          </w:tcPr>
          <w:p>
            <w:r>
              <w:t>UUID 996c27fd-54e5-4ea4-8528-fa336f0ba2b9</w:t>
            </w:r>
          </w:p>
        </w:tc>
        <w:tc>
          <w:tcPr>
            <w:tcW w:type="dxa" w:w="2436"/>
          </w:tcPr>
          <w:p>
            <w:r>
              <w:t>Validado</w:t>
            </w:r>
          </w:p>
        </w:tc>
      </w:tr>
      <w:tr>
        <w:trPr>
          <w:cantSplit/>
        </w:trPr>
        <w:tc>
          <w:tcPr>
            <w:tcW w:type="dxa" w:w="2436"/>
          </w:tcPr>
          <w:p>
            <w:r>
              <w:t>EV-07</w:t>
            </w:r>
          </w:p>
        </w:tc>
        <w:tc>
          <w:tcPr>
            <w:tcW w:type="dxa" w:w="2436"/>
          </w:tcPr>
          <w:p>
            <w:r>
              <w:t>Função ativa em Python 3.12, VPC correta e acesso ao RDS</w:t>
            </w:r>
          </w:p>
        </w:tc>
        <w:tc>
          <w:tcPr>
            <w:tcW w:type="dxa" w:w="2436"/>
          </w:tcPr>
          <w:p>
            <w:r>
              <w:t>atividade6-consumer</w:t>
            </w:r>
          </w:p>
        </w:tc>
        <w:tc>
          <w:tcPr>
            <w:tcW w:type="dxa" w:w="2436"/>
          </w:tcPr>
          <w:p>
            <w:r>
              <w:t>Validado</w:t>
            </w:r>
          </w:p>
        </w:tc>
      </w:tr>
      <w:tr>
        <w:trPr>
          <w:cantSplit/>
        </w:trPr>
        <w:tc>
          <w:tcPr>
            <w:tcW w:type="dxa" w:w="2436"/>
          </w:tcPr>
          <w:p>
            <w:r>
              <w:t>EV-08</w:t>
            </w:r>
          </w:p>
        </w:tc>
        <w:tc>
          <w:tcPr>
            <w:tcW w:type="dxa" w:w="2436"/>
          </w:tcPr>
          <w:p>
            <w:r>
              <w:t>Instância disponível e acessível pela Consumer na porta 5432</w:t>
            </w:r>
          </w:p>
        </w:tc>
        <w:tc>
          <w:tcPr>
            <w:tcW w:type="dxa" w:w="2436"/>
          </w:tcPr>
          <w:p>
            <w:r>
              <w:t>atividade6-postgres</w:t>
            </w:r>
          </w:p>
        </w:tc>
        <w:tc>
          <w:tcPr>
            <w:tcW w:type="dxa" w:w="2436"/>
          </w:tcPr>
          <w:p>
            <w:r>
              <w:t>Validado</w:t>
            </w:r>
          </w:p>
        </w:tc>
      </w:tr>
      <w:tr>
        <w:trPr>
          <w:cantSplit/>
        </w:trPr>
        <w:tc>
          <w:tcPr>
            <w:tcW w:type="dxa" w:w="2436"/>
          </w:tcPr>
          <w:p>
            <w:r>
              <w:t>EV-09</w:t>
            </w:r>
          </w:p>
        </w:tc>
        <w:tc>
          <w:tcPr>
            <w:tcW w:type="dxa" w:w="2436"/>
          </w:tcPr>
          <w:p>
            <w:r>
              <w:t>Upload do CSV gerou 3 mensagens SQS</w:t>
            </w:r>
          </w:p>
        </w:tc>
        <w:tc>
          <w:tcPr>
            <w:tcW w:type="dxa" w:w="2436"/>
          </w:tcPr>
          <w:p>
            <w:r>
              <w:t>mensagens_enviadas=3</w:t>
            </w:r>
          </w:p>
        </w:tc>
        <w:tc>
          <w:tcPr>
            <w:tcW w:type="dxa" w:w="2436"/>
          </w:tcPr>
          <w:p>
            <w:r>
              <w:t>Validado</w:t>
            </w:r>
          </w:p>
        </w:tc>
      </w:tr>
      <w:tr>
        <w:trPr>
          <w:cantSplit/>
        </w:trPr>
        <w:tc>
          <w:tcPr>
            <w:tcW w:type="dxa" w:w="2436"/>
          </w:tcPr>
          <w:p>
            <w:r>
              <w:t>EV-10</w:t>
            </w:r>
          </w:p>
        </w:tc>
        <w:tc>
          <w:tcPr>
            <w:tcW w:type="dxa" w:w="2436"/>
          </w:tcPr>
          <w:p>
            <w:r>
              <w:t>3 registros processados pela Consumer</w:t>
            </w:r>
          </w:p>
        </w:tc>
        <w:tc>
          <w:tcPr>
            <w:tcW w:type="dxa" w:w="2436"/>
          </w:tcPr>
          <w:p>
            <w:r>
              <w:t>REC-E2E-001/002/003</w:t>
            </w:r>
          </w:p>
        </w:tc>
        <w:tc>
          <w:tcPr>
            <w:tcW w:type="dxa" w:w="2436"/>
          </w:tcPr>
          <w:p>
            <w:r>
              <w:t>Validado</w:t>
            </w:r>
          </w:p>
        </w:tc>
      </w:tr>
      <w:tr>
        <w:trPr>
          <w:cantSplit/>
        </w:trPr>
        <w:tc>
          <w:tcPr>
            <w:tcW w:type="dxa" w:w="2436"/>
          </w:tcPr>
          <w:p>
            <w:r>
              <w:t>EV-11</w:t>
            </w:r>
          </w:p>
        </w:tc>
        <w:tc>
          <w:tcPr>
            <w:tcW w:type="dxa" w:w="2436"/>
          </w:tcPr>
          <w:p>
            <w:r>
              <w:t>Registros 001 e 002 enriquecidos; 003 sem correspondência</w:t>
            </w:r>
          </w:p>
        </w:tc>
        <w:tc>
          <w:tcPr>
            <w:tcW w:type="dxa" w:w="2436"/>
          </w:tcPr>
          <w:p>
            <w:r>
              <w:t>true/true/false</w:t>
            </w:r>
          </w:p>
        </w:tc>
        <w:tc>
          <w:tcPr>
            <w:tcW w:type="dxa" w:w="2436"/>
          </w:tcPr>
          <w:p>
            <w:r>
              <w:t>Validado</w:t>
            </w:r>
          </w:p>
        </w:tc>
      </w:tr>
      <w:tr>
        <w:trPr>
          <w:cantSplit/>
        </w:trPr>
        <w:tc>
          <w:tcPr>
            <w:tcW w:type="dxa" w:w="2436"/>
          </w:tcPr>
          <w:p>
            <w:r>
              <w:t>EV-12</w:t>
            </w:r>
          </w:p>
        </w:tc>
        <w:tc>
          <w:tcPr>
            <w:tcW w:type="dxa" w:w="2436"/>
          </w:tcPr>
          <w:p>
            <w:r>
              <w:t>0 mensagens disponíveis e 0 em voo após o teste</w:t>
            </w:r>
          </w:p>
        </w:tc>
        <w:tc>
          <w:tcPr>
            <w:tcW w:type="dxa" w:w="2436"/>
          </w:tcPr>
          <w:p>
            <w:r>
              <w:t>0/0</w:t>
            </w:r>
          </w:p>
        </w:tc>
        <w:tc>
          <w:tcPr>
            <w:tcW w:type="dxa" w:w="2436"/>
          </w:tcPr>
          <w:p>
            <w:r>
              <w:t>Validado</w:t>
            </w:r>
          </w:p>
        </w:tc>
      </w:tr>
      <w:tr>
        <w:trPr>
          <w:cantSplit/>
        </w:trPr>
        <w:tc>
          <w:tcPr>
            <w:tcW w:type="dxa" w:w="2436"/>
          </w:tcPr>
          <w:p>
            <w:r>
              <w:t>EV-13</w:t>
            </w:r>
          </w:p>
        </w:tc>
        <w:tc>
          <w:tcPr>
            <w:tcW w:type="dxa" w:w="2436"/>
          </w:tcPr>
          <w:p>
            <w:r>
              <w:t>0 mensagens após o teste</w:t>
            </w:r>
          </w:p>
        </w:tc>
        <w:tc>
          <w:tcPr>
            <w:tcW w:type="dxa" w:w="2436"/>
          </w:tcPr>
          <w:p>
            <w:r>
              <w:t>0</w:t>
            </w:r>
          </w:p>
        </w:tc>
        <w:tc>
          <w:tcPr>
            <w:tcW w:type="dxa" w:w="2436"/>
          </w:tcPr>
          <w:p>
            <w:r>
              <w:t>Validado</w:t>
            </w:r>
          </w:p>
        </w:tc>
      </w:tr>
      <w:tr>
        <w:trPr>
          <w:cantSplit/>
        </w:trPr>
        <w:tc>
          <w:tcPr>
            <w:tcW w:type="dxa" w:w="2436"/>
          </w:tcPr>
          <w:p>
            <w:r>
              <w:t>EV-14</w:t>
            </w:r>
          </w:p>
        </w:tc>
        <w:tc>
          <w:tcPr>
            <w:tcW w:type="dxa" w:w="2436"/>
          </w:tcPr>
          <w:p>
            <w:r>
              <w:t>Quantidade de arquivos processados passou de 1 para 4 (+3)</w:t>
            </w:r>
          </w:p>
        </w:tc>
        <w:tc>
          <w:tcPr>
            <w:tcW w:type="dxa" w:w="2436"/>
          </w:tcPr>
          <w:p>
            <w:r>
              <w:t>Novos=3</w:t>
            </w:r>
          </w:p>
        </w:tc>
        <w:tc>
          <w:tcPr>
            <w:tcW w:type="dxa" w:w="2436"/>
          </w:tcPr>
          <w:p>
            <w:r>
              <w:t>Validado</w:t>
            </w:r>
          </w:p>
        </w:tc>
      </w:tr>
    </w:tbl>
    <w:p>
      <w:pPr>
        <w:pStyle w:val="Heading1"/>
      </w:pPr>
      <w:r>
        <w:t>6. Conclusão</w:t>
      </w:r>
    </w:p>
    <w:p>
      <w:r>
        <w:rPr>
          <w:b/>
        </w:rPr>
        <w:t xml:space="preserve">Resultado geral. </w:t>
      </w:r>
      <w:r>
        <w:t>O teste ponta a ponta foi concluído com sucesso. A inserção de um único arquivo CSV no S3 Input acionou automaticamente a cadeia S3 → Lambda Producer → SQS → Lambda Consumer → RDS PostgreSQL → S3 Output. Foram processados três registros, dois enriquecidos com correspondência e um tratado corretamente sem correspondência, sem mensagens remanescentes na fila principal e sem encaminhamento para a DLQ.</w:t>
      </w:r>
    </w:p>
    <w:p>
      <w:r>
        <w:rPr>
          <w:b/>
        </w:rPr>
        <w:t xml:space="preserve">Reprodutibilidade. </w:t>
      </w:r>
      <w:r>
        <w:t>Os scripts incluídos neste pacote permitem coletar novamente as configurações e logs no AWS CloudShell, evitando a captura de DB_PASSWORD, e instalar o pacote localmente na pasta do projeto no Windows.</w:t>
      </w:r>
    </w:p>
    <w:p>
      <w:pPr>
        <w:pStyle w:val="Heading1"/>
      </w:pPr>
      <w:r>
        <w:t>7. Observações de segurança e governança</w:t>
      </w:r>
    </w:p>
    <w:p>
      <w:pPr>
        <w:pStyle w:val="ListBullet"/>
      </w:pPr>
      <w:r>
        <w:t>Os logs entregues foram sanitizados para remover valores de DB_PASSWORD e entradas de senha.</w:t>
      </w:r>
    </w:p>
    <w:p>
      <w:pPr>
        <w:pStyle w:val="ListBullet"/>
      </w:pPr>
      <w:r>
        <w:t>Credenciais não devem ser versionadas no Git. Para ambiente produtivo, utilizar serviço de gerenciamento de segredos em vez de armazenar senha diretamente em configuração de função.</w:t>
      </w:r>
    </w:p>
    <w:p>
      <w:pPr>
        <w:pStyle w:val="ListBullet"/>
      </w:pPr>
      <w:r>
        <w:t>Após a coleta de evidências, recomenda-se parar recursos de maior custo, especialmente o RDS, e desabilitar gatilhos se o laboratório não estiver mais em uso.</w:t>
      </w:r>
    </w:p>
    <w:p>
      <w:pPr>
        <w:pStyle w:val="Heading1"/>
      </w:pPr>
      <w:r>
        <w:t>8. Arquivos que compõem o pacote</w:t>
      </w:r>
    </w:p>
    <w:p>
      <w:pPr>
        <w:pStyle w:val="ListBullet"/>
      </w:pPr>
      <w:r>
        <w:t>Relatorio_Evidencias_Atividade6_AWS.docx</w:t>
      </w:r>
    </w:p>
    <w:p>
      <w:pPr>
        <w:pStyle w:val="ListBullet"/>
      </w:pPr>
      <w:r>
        <w:t>Manifesto_Evidencias_Atividade6.csv</w:t>
      </w:r>
    </w:p>
    <w:p>
      <w:pPr>
        <w:pStyle w:val="ListBullet"/>
      </w:pPr>
      <w:r>
        <w:t>README_EVIDENCIAS.md</w:t>
      </w:r>
    </w:p>
    <w:p>
      <w:pPr>
        <w:pStyle w:val="ListBullet"/>
      </w:pPr>
      <w:r>
        <w:t>logs/01_execucao_infraestrutura_e_producer_sanitizado.txt</w:t>
      </w:r>
    </w:p>
    <w:p>
      <w:pPr>
        <w:pStyle w:val="ListBullet"/>
      </w:pPr>
      <w:r>
        <w:t>logs/02_criacao_consumer_e_autenticacao_sanitizado.txt</w:t>
      </w:r>
    </w:p>
    <w:p>
      <w:pPr>
        <w:pStyle w:val="ListBullet"/>
      </w:pPr>
      <w:r>
        <w:t>logs/03_teste_ponta_a_ponta_sanitizado.txt</w:t>
      </w:r>
    </w:p>
    <w:p>
      <w:pPr>
        <w:pStyle w:val="ListBullet"/>
      </w:pPr>
      <w:r>
        <w:t>scripts/01_coletar_evidencias_cloudshell.sh</w:t>
      </w:r>
    </w:p>
    <w:p>
      <w:pPr>
        <w:pStyle w:val="ListBullet"/>
      </w:pPr>
      <w:r>
        <w:t>scripts/02_instalar_pacote_no_windows.ps1</w:t>
      </w:r>
    </w:p>
    <w:p>
      <w:pPr>
        <w:pStyle w:val="Heading1"/>
      </w:pPr>
      <w:r>
        <w:t>9. Fontes primárias e referência técnica</w:t>
      </w:r>
    </w:p>
    <w:p>
      <w:r>
        <w:t>Fonte primária: registros de execução no AWS CloudShell, logs do Amazon CloudWatch, atributos do Amazon SQS e objetos gravados no Amazon S3 durante o teste de 16/09/2026.</w:t>
      </w:r>
    </w:p>
    <w:p>
      <w:r>
        <w:t>Fonte do requisito: Orientacao-Trabalho(1).docx — Atividade 6 – Pipeline em Cloud Computer - Streaming.</w:t>
      </w:r>
    </w:p>
    <w:p>
      <w:r>
        <w:t>Amazon Web Services. (2026). AWS Lambda, Amazon S3, Amazon SQS e Amazon RDS — documentação oficial. DOI: não aplicável.</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C3 — Trabalho de Ingestão / Pipeline — Atividade 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Atividade 6 — Evidências de Desenvolvimento em 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