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2E4057"/>
          <w:sz w:val="36"/>
          <w:szCs w:val="36"/>
        </w:rPr>
        <w:t xml:space="preserve">U.S. Law Knowledge Graph</w:t>
      </w:r>
    </w:p>
    <w:p>
      <w:pPr>
        <w:spacing w:after="80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Schema Specification v0.5 — Agenda &amp; Changelog</w:t>
      </w:r>
    </w:p>
    <w:p>
      <w:pPr>
        <w:spacing w:after="24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Drafted: May 10, 2026  ·  Based on: 41 schema issues tracked since v0.2  ·  Graph state: 515 nodes · 754 edges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document defines the agenda for the v0.5 schema specification update. The 41 schema issues documented during v0.2–v0.4 development have been audited and categorized into four buckets: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RESOLVED (4 issues): Already handled by schema evolution. Marked resolved in graph JSON.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SPEC_V05 (19 issues): Require formal specification. Most are already partially implemented in the validator and graph — this document formalizes them.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CONTENT_GAP (10 issues): Require more case nodes, not schema changes. Will resolve naturally as the graph grows.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DEFER_PHASE2 (4 issues): Intentionally deferred until Contracts/Torts Phase 2.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v0.5 spec focuses on the 19 SPEC_V05 items. They cluster into five groups: edge type additions, node field additions, enum expansions, test schema refinements, and editorial guidelines.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Resolved Issues (v0.2 → v0.4)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following issues were resolved by schema evolution during graph development and do not require v0.5 specification work.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00"/>
        <w:gridCol w:w="5460"/>
        <w:gridCol w:w="24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7C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7C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7C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7C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Resolution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OVERRULES needs overrule_type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overrule_type enum (explicit/implicit/effective) added; Virginia Pharmacy → Valentine correctly modeled with overrule_type='implicit'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APPLIES+MODIFIES collision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Validator E011 now catches APPLIES+MODIFIES collision on same source→target pair. MODIFIES subsumes APPLIES is enforced programmatically.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INCORPORATES not in edge type list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INCORPORATES formalized as edge type with validation. Used for 14th Amendment incorporation of Bill of Rights.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Overruled DoctrinalTest temporal behavior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Lemon test has valid_until='2022-06-27'. Kennedy v. Bremerton OVERRULES edge with overrule_type='explicit' correctly models temporal boundary.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v0.5 Specification Changes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Edge Type Additions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3.1.1 PRECONDITION_TO (Issues #19, #25, #35)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Problem: Three separate instances of 'meta-test' — a DoctrinalTest that is a threshold precondition to another DoctrinalTest. The current schema has no way to model this relationship. Affected nodes: public_figure_classification_test → actual_malice_test, belief_conduct_distinction → free_exercise tests, expressive_association_test → Hurley analysis.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Edge type: PRECONDITION_TO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Direction: DoctrinalTest → DoctrinalTest (or Doctrine → DoctrinalTest)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Meaning: The source test/doctrine must be satisfied before the target test applies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Required attributes: none beyond standard source/target/valid_from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Example: public_figure_classification_test PRECONDITION_TO actual_malice_test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Validator update: Add PRECONDITION_TO to valid edge types. Validate that source is DoctrinalTest or Doctrine, target is DoctrinalTest.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3.1.2 RELATED_TO — relationship_type attribute (Issues #12, #18, #32)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Problem: RELATED_TO exists in schema but has no structured attributes, making it semantically vague. Three instances currently in graph without guidance on when to use it.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 optional relationship_type attribute to RELATED_TO edges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Enum values: overlapping_doctrine | constitutional_tension | cross_clause_interaction | doctrinal_ancestor | parallel_development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Example: establishment_clause RELATED_TO free_exercise with relationship_type='constitutional_tension'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Editorial rule: RELATED_TO is appropriate when two doctrines share cases, modify each other's scope, or have a constitutional tension that cannot be expressed as CHILD_OF, MODIFIES, or APPLIES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3.1.3 MODIFIES direction — complicates value (Issue #3)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Problem: MODIFIES direction enum (narrows/expands/clarifies/complicates/repudiates) includes 'complicates' but no editorial guidance exists for when to use it vs. 'clarifies'.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complicates: Use when a case adds doctrinal complexity without clearly narrowing or expanding — e.g., Sorrell v. IMS Health complicates Central Hudson by applying content-neutrality analysis to commercial speech regulation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repudiates: Use when a case challenges the doctrinal foundation without formally overruling — distinct from OVERRULES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 to validator enum; already in graph JSON schema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3.2 Node Field Additions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3.2.1 theory attribute on GROUNDED_IN edges (Issue #34)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Problem: The intimate_association doctrine and others are grounded in constitutional provisions through different legal theories. GROUNDED_IN cannot currently distinguish substantive due process theory from Privileges or Immunities theory on the same edge.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 optional theory attribute to GROUNDED_IN edges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Type: string (free-form, not enum — legal theories are too varied)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Example: intimate_association_doctrine GROUNDED_IN amendment_14_section_1 with theory='substantive due process liberty interest'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Example: intimate_association_doctrine GROUNDED_IN amendment_14_section_1 with theory='privileges or immunities'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3.2.2 secondary_area_ids on Doctrine nodes (Issue #35)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Problem: Some doctrines genuinely belong to multiple areas — Hurley implicates both expressive association (freedom_of_association) and compelled speech (free_speech). The current area_id field is singular.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 optional secondary_area_ids field to Doctrine nodes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Type: array of strings, each must be a valid Area node 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Primary area_id remains the canonical area for traversal; secondary_area_ids are cross-references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Validator: warn (not error) if secondary_area_ids contains the same value as area_id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3.2.3 pending_establishment on Doctrine/DoctrinalTest nodes (Issue #10)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Problem: Some doctrines have layered valid_from dates representing different phases of development. A single valid_from cannot capture this. Also needed for cross-slice dependency tracking (Issue #9).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 optional pending_establishment array to Doctrine and DoctrinalTest nodes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Schema: [{case_id: string, note: string, expected_slice: string}]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Meaning: This doctrine's full establishment depends on cases not yet modeled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Example: true_threats_doctrine has pending_establishment: [{case_id: 'counterman_v_colorado_2023', note: 'Adds subjective mens rea requirement', expected_slice: 'conlaw &gt; 1a &gt; free_speech &gt; true_threats'}]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3.2.4 condition_note on GOVERNED_BY edges (Issue #17)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Problem: GOVERNED_BY cannot express that a test applies conditionally — the Madsen test applies only when the prior restraint instrument is a judicial injunction, not a licensing scheme.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 optional condition_note string field to GOVERNED_BY edges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Example: prior_restraint GOVERNED_BY madsen_test with condition_note='Applies only when the prior restraint instrument is a judicial injunction, not a statute or licensing scheme'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3.2.5 restored_by field on DoctrinalTest nodes (Issue #26)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Problem: The Sherbert compelling interest test was significantly curtailed by Employment Division v. Smith but effectively restored by RFRA for federal law contexts. The schema cannot represent a test that was constitutionally limited but statutorily restored.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 optional restored_by field to DoctrinalTest nodes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Schema: {statute_id: string, note: string, valid_from: date, jurisdiction: array}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Example: sherbert_test restored_by: {statute_id: 'rfra_1993', note: 'Restored for federal law by Religious Freedom Restoration Act', valid_from: '1993-11-16', jurisdiction: ['federal']}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3.3 Enum Expansions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3.3.1 Case status enum (Issue #15)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Current enum: good_law | overruled | limited | disputed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Add: mooted — case became moot and was never decided on the merits (e.g., US v. Progressive)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Add: cert_denied — certiorari denied; useful for tracking petitions that failed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Add: per_curiam_affirmed — affirmed by an equally divided Court, no precedential effect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Note: precedential_weight field already handles the binding/persuasive/none distinction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3.3.2 scrutiny_level enum (Issue #36)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Current enum: strict | intermediate | rational_basis | balancing | per_se | heightened | none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Add: exacting_scrutiny — a distinct standard used in compelled disclosure cases (NAACP v. Alabama line), requiring a substantial government interest and a substantial relationship between the interest and the disclosure requirement. Distinct from intermediate scrutiny.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3.3.3 Case status — plurality_superseded (Issue #22)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Current status: limited captures some of this, but Curtis Publishing v. Butts has a unique posture where Harlan's plurality holding was superseded by Brennan's approach in later cases without formal overruling.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Add: plurality_superseded — the controlling plurality opinion has been superseded in practice by a later majority opinion addressing the same issue, without formal overruling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3.4 Test Schema Refinements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3.4.1 Interpretive methodology as node type (Issue #30)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Problem: The historical practices and understandings standard from Kennedy v. Bremerton is modeled as a Doctrine node, but it is more accurately an interpretive methodology — a meta-level framework for reading constitutional text — not a substantive legal doctrine. Other methodologies (text-and-history, original public meaning, Glucksberg tradition) have the same problem.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Option A (preferred): Add InterpretiveMethodology as a new node type — a subtype of Doctrine with an additional methodology_type field (enum: historical_practices | original_public_meaning | text_and_history | balancing | structural)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Option B (simpler): Add a doctrine_subtype field to Doctrine nodes with interpretive_methodology as a value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Recommendation: Option B for now — adding a node type requires validator updates across all existing nodes. Option A in v1.0.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3.5 Editorial Guidelines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3.5.1 APPLIES vs. MODIFIES for context-extension cases (Issue #11)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Problem: Cases like Claiborne Hardware that apply a test in a new context (civil vs. criminal, different speaker type) create ambiguity about whether to use APPLIES or MODIFIES.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 APPLIES when: the case applies an existing test without changing any prong or outcome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 MODIFIES (direction: expands) when: the case applies the test in a new context and the application itself extends the test's scope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 MODIFIES (direction: clarifies) when: the case resolves ambiguity about how a prong operates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Claiborne Hardware → APPLIES to Brandenburg test (civil application does not modify the test, it merely applies it in a new setting)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3.5.2 RELATED_TO editorial criteria (Issue #18)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When to use RELATED_TO: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Two doctrinal areas share cases in both directions (each area has cases that cite the other's core doctrine)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Two doctrines have a constitutional tension that courts must navigate (Religion Clauses; free speech vs. association)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doctrine in one area is a precondition to or limit on a doctrine in another area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When NOT to use RELATED_TO: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When CHILD_OF, MODIFIES, or APPLIES accurately captures the relationship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When the connection is only historical or intellectual — use INTELLECTUALLY_PRECEDES instead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 not create RELATED_TO edges between individual Case or Doctrine nodes — only between Area nodes or between top-level Doctrine nodes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Deferred to Phase 2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following issues are intentionally deferred until the Contracts/Torts Phase 2 expansion: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Issue #14 — InstrumentType enum for prior restraint (licensing scheme vs. injunction vs. administrative order)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Issue #20 — Constitutional constraint on common law cause of action (requires Torts slice)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Issue #21 — Federal constitutional floor with state law superstructure (requires Phase 2 Doctrine hierarchy)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Issue #37 — Noerr-Pennington cross-field placement (primary application is antitrust, Phase 2)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Content Gaps (Not Schema Issues)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following issues require additional case nodes, not schema changes. They will resolve naturally as the graph grows: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Issue #9 — Add Connick v. Myers (1983), R.A.V. v. St. Paul (1992), Virginia v. Black (2003) to close cross-slice dependency gap for public_concern_doctrine and true_threats_doctrine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Issue #16 — Pentagon Papers (NY Times v. US, 1971) nine-opinion fracture — full modeling deferred until PRECONDITION_TO and fractured-opinion handling is spec'd (this spec partially addresses it)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Issue #23 — Add Gertz v. Robert Welch (1974) and Milkovich v. Lorain Journal (1990) for opinion/fact doctrine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Issue #31 — Add post-Kennedy v. Bremerton Establishment Clause cases as they develop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Issue #33 — Add Van Orden v. Perry and McCreary County v. ACLU as companion cases with DISTINGUISHES edge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Issue #38 — Add California Motor Transport v. Trucking Unlimited (1972) and BE&amp;K Construction (2002) for petition doctrine depth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Implementation Priority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Implement in this order: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Phase 1 (immediate): PRECONDITION_TO edge type, secondary_area_ids, scrutiny_level enum additions — these unblock existing content gaps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Phase 2 (before next 100 cases): theory on GROUNDED_IN, relationship_type on RELATED_TO, condition_note on GOVERNED_BY — these improve existing edge expressiveness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Phase 3 (before Phase 2 expansion): restored_by on DoctrinalTest, pending_establishment, Case status enum additions, doctrine_subtype field — these are needed for statutory law modeling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Phase 4 (v1.0): InterpretiveMethodology as a formal node type — requires validator refactor</w:t>
      </w:r>
    </w:p>
    <w:p>
      <w:r>
        <w:t xml:space="preserve"/>
      </w:r>
    </w:p>
    <w:p>
      <w:pPr>
        <w:pBdr>
          <w:top w:val="single" w:color="2E75B6" w:sz="6" w:space="1"/>
        </w:pBdr>
        <w:spacing w:before="24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U.S. Law Knowledge Graph — Schema Specification v0.5 Agenda  ·  May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2E405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2026-05-10T01:42:29.444Z</dcterms:created>
  <dcterms:modified xsi:type="dcterms:W3CDTF">2026-05-10T01:42:29.444Z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