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jc w:val="left"/>
        <w:rPr>
          <w:rFonts w:ascii="宋体" w:hAnsi="宋体"/>
          <w:sz w:val="24"/>
          <w:szCs w:val="24"/>
        </w:rPr>
      </w:pPr>
      <w:r>
        <w:rPr>
          <w:rFonts w:hint="eastAsia" w:ascii="宋体" w:hAnsi="宋体"/>
          <w:sz w:val="24"/>
          <w:szCs w:val="24"/>
        </w:rPr>
        <w:t>甲方</w:t>
      </w:r>
      <w:r>
        <w:rPr>
          <w:rFonts w:hint="eastAsia" w:ascii="宋体" w:hAnsi="宋体"/>
          <w:color w:val="000000"/>
          <w:sz w:val="24"/>
          <w:szCs w:val="24"/>
        </w:rPr>
        <w:t>：</w:t>
      </w:r>
      <w:r>
        <w:rPr>
          <w:rFonts w:hint="eastAsia" w:ascii="宋体" w:hAnsi="宋体"/>
          <w:sz w:val="24"/>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sz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ascii="宋体" w:hAnsi="宋体"/>
          <w:color w:val="000000"/>
          <w:sz w:val="24"/>
          <w:szCs w:val="24"/>
          <w:u w:val="single"/>
          <w:lang w:val="en-US" w:eastAsia="zh-CN"/>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3"/>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w:t>
      </w:r>
      <w:r>
        <w:rPr>
          <w:rFonts w:hint="eastAsia"/>
          <w:sz w:val="24"/>
          <w:szCs w:val="24"/>
        </w:rPr>
        <w:t>续展</w:t>
      </w:r>
      <w:r>
        <w:rPr>
          <w:rFonts w:hint="eastAsia" w:ascii="宋体" w:hAnsi="宋体"/>
          <w:color w:val="000000"/>
          <w:sz w:val="24"/>
          <w:szCs w:val="24"/>
        </w:rPr>
        <w:t>所需费用总计：￥</w:t>
      </w:r>
      <w:r>
        <w:rPr>
          <w:rFonts w:ascii="宋体" w:hAnsi="宋体"/>
          <w:color w:val="000000"/>
          <w:sz w:val="24"/>
          <w:szCs w:val="24"/>
          <w:u w:val="single"/>
          <w:lang w:val="en-US" w:eastAsia="zh-CN"/>
        </w:rPr>
        <w:t>${order_total}</w:t>
      </w:r>
      <w:r>
        <w:rPr>
          <w:rFonts w:hint="eastAsia" w:ascii="宋体" w:hAnsi="宋体"/>
          <w:color w:val="000000"/>
          <w:sz w:val="24"/>
          <w:szCs w:val="24"/>
        </w:rPr>
        <w:t>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rPr>
        <w:t>日内一次性向乙方支付价款。</w:t>
      </w:r>
    </w:p>
    <w:p>
      <w:pPr>
        <w:spacing w:line="360" w:lineRule="auto"/>
        <w:ind w:firstLine="420"/>
        <w:rPr>
          <w:rFonts w:hint="eastAsia" w:ascii="宋体" w:hAnsi="宋体"/>
          <w:color w:val="000000"/>
          <w:sz w:val="24"/>
          <w:szCs w:val="24"/>
        </w:rPr>
      </w:pP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2</w:t>
      </w:r>
      <w:r>
        <w:rPr>
          <w:rFonts w:hint="eastAsia" w:ascii="宋体" w:hAnsi="宋体"/>
          <w:color w:val="000000"/>
          <w:sz w:val="24"/>
          <w:szCs w:val="24"/>
        </w:rPr>
        <w:t>、甲方应当按本合同约定及时付款，乙方在甲方全额付款并提供完整、真实的申请资料后，及时将申请资料提交至国家商标局。</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3</w:t>
      </w:r>
      <w:r>
        <w:rPr>
          <w:rFonts w:hint="eastAsia" w:ascii="宋体" w:hAnsi="宋体"/>
          <w:color w:val="000000"/>
          <w:sz w:val="24"/>
          <w:szCs w:val="24"/>
        </w:rPr>
        <w:t>、甲方应当对本合同内容负有保密义务。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w:t>
      </w:r>
      <w:r>
        <w:rPr>
          <w:rFonts w:hint="eastAsia" w:ascii="宋体" w:hAnsi="宋体"/>
          <w:color w:val="000000"/>
          <w:sz w:val="24"/>
          <w:szCs w:val="24"/>
          <w:lang w:eastAsia="zh-CN"/>
        </w:rPr>
        <w:t>续展</w:t>
      </w:r>
      <w:bookmarkStart w:id="0" w:name="_GoBack"/>
      <w:bookmarkEnd w:id="0"/>
      <w:r>
        <w:rPr>
          <w:rFonts w:hint="eastAsia" w:ascii="宋体" w:hAnsi="宋体"/>
          <w:color w:val="000000"/>
          <w:sz w:val="24"/>
          <w:szCs w:val="24"/>
        </w:rPr>
        <w:t>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w:t>
      </w:r>
      <w:r>
        <w:rPr>
          <w:rFonts w:hint="eastAsia" w:ascii="宋体" w:hAnsi="宋体"/>
          <w:color w:val="000000"/>
          <w:sz w:val="24"/>
          <w:szCs w:val="24"/>
          <w:lang w:eastAsia="zh-CN"/>
        </w:rPr>
        <w:t>续展申请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0"/>
        </w:numPr>
        <w:spacing w:line="360" w:lineRule="auto"/>
        <w:rPr>
          <w:rFonts w:ascii="宋体" w:hAnsi="宋体"/>
          <w:color w:val="000000"/>
          <w:sz w:val="24"/>
          <w:szCs w:val="24"/>
        </w:rPr>
      </w:pP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w:t>
      </w:r>
      <w:r>
        <w:rPr>
          <w:rFonts w:hint="eastAsia" w:ascii="宋体" w:hAnsi="宋体"/>
          <w:sz w:val="24"/>
          <w:szCs w:val="24"/>
          <w:lang w:eastAsia="zh-CN"/>
        </w:rPr>
        <w:t>核准转让</w:t>
      </w:r>
      <w:r>
        <w:rPr>
          <w:rFonts w:hint="eastAsia" w:ascii="宋体" w:hAnsi="宋体"/>
          <w:sz w:val="24"/>
          <w:szCs w:val="24"/>
        </w:rPr>
        <w:t>结果时止。本协议终止后，乙方仍应及时向甲方转达商标局相关官方文件。</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p>
    <w:p>
      <w:pPr>
        <w:spacing w:line="400" w:lineRule="exact"/>
        <w:rPr>
          <w:rFonts w:hint="eastAsia" w:ascii="宋体" w:hAnsi="宋体"/>
          <w:sz w:val="24"/>
          <w:szCs w:val="24"/>
        </w:rPr>
      </w:pP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黑体" w:hAnsi="黑体" w:eastAsia="黑体" w:cs="黑体"/>
          <w:b/>
          <w:bCs/>
          <w:sz w:val="44"/>
          <w:szCs w:val="44"/>
        </w:rPr>
        <w:drawing>
          <wp:anchor distT="0" distB="0" distL="114300" distR="114300" simplePos="0" relativeHeight="251658240" behindDoc="1" locked="0" layoutInCell="1" allowOverlap="1">
            <wp:simplePos x="0" y="0"/>
            <wp:positionH relativeFrom="column">
              <wp:posOffset>2968625</wp:posOffset>
            </wp:positionH>
            <wp:positionV relativeFrom="paragraph">
              <wp:posOffset>-28575</wp:posOffset>
            </wp:positionV>
            <wp:extent cx="1587500" cy="1587500"/>
            <wp:effectExtent l="0" t="0" r="12700" b="12700"/>
            <wp:wrapNone/>
            <wp:docPr id="1" name="图片 1"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mmy"/>
                    <pic:cNvPicPr>
                      <a:picLocks noChangeAspect="1"/>
                    </pic:cNvPicPr>
                  </pic:nvPicPr>
                  <pic:blipFill>
                    <a:blip r:embed="rId4"/>
                    <a:stretch>
                      <a:fillRect/>
                    </a:stretch>
                  </pic:blipFill>
                  <pic:spPr>
                    <a:xfrm>
                      <a:off x="0" y="0"/>
                      <a:ext cx="1587500" cy="1587500"/>
                    </a:xfrm>
                    <a:prstGeom prst="rect">
                      <a:avLst/>
                    </a:prstGeom>
                  </pic:spPr>
                </pic:pic>
              </a:graphicData>
            </a:graphic>
          </wp:anchor>
        </w:drawing>
      </w: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ascii="宋体" w:hAnsi="宋体"/>
          <w:sz w:val="24"/>
          <w:szCs w:val="24"/>
          <w:lang w:eastAsia="zh-CN"/>
        </w:rPr>
        <w:t>${firm_address}</w:t>
      </w:r>
    </w:p>
    <w:p>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ascii="宋体" w:hAnsi="宋体"/>
          <w:sz w:val="24"/>
          <w:szCs w:val="24"/>
          <w:u w:val="single"/>
          <w:lang w:val="en-US" w:eastAsia="zh-CN"/>
        </w:rPr>
        <w:t>${orderDate}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716A2"/>
    <w:rsid w:val="41291C53"/>
    <w:rsid w:val="745425A9"/>
    <w:rsid w:val="7587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2019-05-30T05:58:00Z</dcterms:created>
  <dc:creator>朱江浩</dc:creator>
  <cp:lastModifiedBy>朱江浩</cp:lastModifiedBy>
  <dcterms:modified xsi:type="dcterms:W3CDTF">2019-06-03T07:53:43Z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