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rPr>
          <w:rFonts w:ascii="Arimo" w:hAnsi="Arimo"/>
          <w:position w:val="-1"/>
          <w:lang w:val="nl-NL"/>
        </w:rPr>
      </w:pPr>
      <w:r>
        <w:rPr>
          <w:rFonts w:ascii="Arimo" w:hAnsi="Arimo"/>
          <w:position w:val="-1"/>
          <w:lang w:val="nl-NL"/>
        </w:rPr>
        <w:t xml:space="preserve">Appendix. </w:t>
      </w:r>
    </w:p>
    <w:p>
      <w:pPr>
        <w:pStyle w:val="TextBody"/>
        <w:rPr>
          <w:rFonts w:ascii="Arimo" w:hAnsi="Arimo"/>
          <w:lang w:val="nl-NL"/>
        </w:rPr>
      </w:pPr>
      <w:r>
        <w:rPr>
          <w:rFonts w:ascii="Arimo" w:hAnsi="Arimo"/>
          <w:lang w:val="nl-NL"/>
        </w:rPr>
        <w:t>(copied from the Introduction to Survey of Paramattha Dhammas by</w:t>
      </w:r>
    </w:p>
    <w:p>
      <w:pPr>
        <w:pStyle w:val="TextBody"/>
        <w:rPr>
          <w:rFonts w:ascii="Arimo" w:hAnsi="Arimo"/>
          <w:lang w:val="nl-NL"/>
        </w:rPr>
      </w:pPr>
      <w:r>
        <w:rPr>
          <w:rFonts w:ascii="Arimo" w:hAnsi="Arimo"/>
          <w:lang w:val="nl-NL"/>
        </w:rPr>
        <w:t>Sujin Boriharnwanaket.)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b/>
          <w:bCs/>
          <w:color w:val="000000"/>
          <w:sz w:val="28"/>
          <w:szCs w:val="28"/>
          <w:lang w:val="en-US"/>
        </w:rPr>
        <w:t>The Scriptures and Their Commentaries</w:t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word of the Buddha, the Dhamma and the Vinaya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as taught by him, consists of nine divisions, which are Sutta,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Geyya, Veyy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kara</w:t>
      </w:r>
      <w:r>
        <w:rPr>
          <w:rFonts w:ascii="Arimo" w:hAnsi="Arimo"/>
          <w:color w:val="000000"/>
          <w:sz w:val="28"/>
          <w:szCs w:val="28"/>
          <w:lang w:val="it-IT"/>
        </w:rPr>
        <w:t>ù</w:t>
      </w:r>
      <w:r>
        <w:rPr>
          <w:rFonts w:ascii="Arimo" w:hAnsi="Arimo"/>
          <w:color w:val="000000"/>
          <w:sz w:val="28"/>
          <w:szCs w:val="28"/>
          <w:lang w:val="de-DE"/>
        </w:rPr>
        <w:t>a, 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å, Udå</w:t>
      </w:r>
      <w:r>
        <w:rPr>
          <w:rFonts w:ascii="Arimo" w:hAnsi="Arimo"/>
          <w:color w:val="000000"/>
          <w:sz w:val="28"/>
          <w:szCs w:val="28"/>
        </w:rPr>
        <w:t>na, Itivuttaka, J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taka,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Abbhuta and Vedalla.</w:t>
      </w:r>
      <w:r>
        <w:rPr>
          <w:rStyle w:val="FootnoteAnchor"/>
          <w:rFonts w:ascii="Arimo" w:hAnsi="Arimo"/>
          <w:color w:val="000000"/>
          <w:sz w:val="28"/>
          <w:szCs w:val="28"/>
          <w:lang w:val="en-US"/>
        </w:rPr>
        <w:footnoteReference w:id="2"/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pt-PT"/>
        </w:rPr>
      </w:pPr>
      <w:r>
        <w:rPr>
          <w:rFonts w:ascii="Arimo" w:hAnsi="Arimo"/>
          <w:color w:val="000000"/>
          <w:sz w:val="28"/>
          <w:szCs w:val="28"/>
        </w:rPr>
        <w:t>Sutta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3"/>
      </w:r>
      <w:r>
        <w:rPr>
          <w:rFonts w:ascii="Arimo" w:hAnsi="Arimo"/>
          <w:color w:val="000000"/>
          <w:sz w:val="28"/>
          <w:szCs w:val="28"/>
          <w:lang w:val="en-US"/>
        </w:rPr>
        <w:t xml:space="preserve"> includes all Discourses, such as the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pt-PT"/>
        </w:rPr>
        <w:t xml:space="preserve">Mangala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sutta” (“</w:t>
      </w:r>
      <w:r>
        <w:rPr>
          <w:rFonts w:ascii="Arimo" w:hAnsi="Arimo"/>
          <w:color w:val="000000"/>
          <w:sz w:val="28"/>
          <w:szCs w:val="28"/>
          <w:lang w:val="en-US"/>
        </w:rPr>
        <w:t>Good Omen Discourse,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Minor Readings, V), and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also the Vinaya 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</w:rPr>
        <w:t>aka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4"/>
      </w:r>
      <w:r>
        <w:rPr>
          <w:rFonts w:ascii="Arimo" w:hAnsi="Arimo"/>
          <w:color w:val="000000"/>
          <w:sz w:val="28"/>
          <w:szCs w:val="28"/>
          <w:lang w:val="en-US"/>
        </w:rPr>
        <w:t xml:space="preserve"> and the Niddesa.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Geyya includes all suttas with verses (g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), such as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de-DE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Sag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-vagga of the Sa</w:t>
      </w:r>
      <w:r>
        <w:rPr>
          <w:rFonts w:ascii="Arimo" w:hAnsi="Arimo"/>
          <w:color w:val="000000"/>
          <w:sz w:val="28"/>
          <w:szCs w:val="28"/>
        </w:rPr>
        <w:t>ÿyutta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de-DE"/>
        </w:rPr>
        <w:t xml:space="preserve">Kindred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Sayings</w:t>
      </w:r>
      <w:r>
        <w:rPr>
          <w:rFonts w:ascii="Arimo" w:hAnsi="Arimo"/>
          <w:color w:val="000000"/>
          <w:sz w:val="28"/>
          <w:szCs w:val="28"/>
        </w:rPr>
        <w:t xml:space="preserve">” (I).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Veyy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kara</w:t>
      </w:r>
      <w:r>
        <w:rPr>
          <w:rFonts w:ascii="Arimo" w:hAnsi="Arimo"/>
          <w:color w:val="000000"/>
          <w:sz w:val="28"/>
          <w:szCs w:val="28"/>
          <w:lang w:val="it-IT"/>
        </w:rPr>
        <w:t>ù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fr-FR"/>
        </w:rPr>
        <w:t>Exposition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includes the Abhidhamma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aka, the suttas without verses and the words of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Buddha that are not included in the other eight divisions.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</w:rPr>
        <w:t>å or “</w:t>
      </w:r>
      <w:r>
        <w:rPr>
          <w:rFonts w:ascii="Arimo" w:hAnsi="Arimo"/>
          <w:color w:val="000000"/>
          <w:sz w:val="28"/>
          <w:szCs w:val="28"/>
          <w:lang w:val="de-DE"/>
        </w:rPr>
        <w:t>Verses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>include the Dhammapada, Therag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Ther</w:t>
      </w:r>
      <w:r>
        <w:rPr>
          <w:rFonts w:ascii="Arimo" w:hAnsi="Arimo"/>
          <w:color w:val="000000"/>
          <w:sz w:val="28"/>
          <w:szCs w:val="28"/>
        </w:rPr>
        <w:t>íg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</w:rPr>
        <w:t xml:space="preserve">å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(Psalms of the Brothers and Sisters) and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those parts of the Sutta-Nip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 not called Sutta and entirely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in verse.                                         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da-DK"/>
        </w:rPr>
        <w:t>Udå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na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Verses of Uplift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include eighty-two suttas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connected with verses recited by the Buddha, inspired by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knowledge and joy.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Itivuttaka or “</w:t>
      </w:r>
      <w:r>
        <w:rPr>
          <w:rFonts w:ascii="Arimo" w:hAnsi="Arimo"/>
          <w:color w:val="000000"/>
          <w:sz w:val="28"/>
          <w:szCs w:val="28"/>
          <w:lang w:val="en-US"/>
        </w:rPr>
        <w:t>As it was said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includes one hundred ten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suttas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5"/>
      </w:r>
      <w:r>
        <w:rPr>
          <w:rFonts w:ascii="Arimo" w:hAnsi="Arimo"/>
          <w:color w:val="000000"/>
          <w:sz w:val="28"/>
          <w:szCs w:val="28"/>
          <w:lang w:val="en-US"/>
        </w:rPr>
        <w:t xml:space="preserve"> beginning with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Thus it was said by the Blessed One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(in 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it-IT"/>
        </w:rPr>
        <w:t xml:space="preserve">li: </w:t>
      </w:r>
      <w:r>
        <w:rPr>
          <w:rFonts w:ascii="Arimo" w:hAnsi="Arimo"/>
          <w:color w:val="000000"/>
          <w:sz w:val="28"/>
          <w:szCs w:val="28"/>
        </w:rPr>
        <w:t xml:space="preserve">“Vuttaÿ h’etaÿ Bhagavatå”).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J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taka or Birth Stories include five hundred fifty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stories of the past lives of the Buddha and his disciples,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beginning with the </w:t>
      </w:r>
      <w:r>
        <w:rPr>
          <w:rFonts w:ascii="Arimo" w:hAnsi="Arimo"/>
          <w:color w:val="000000"/>
          <w:sz w:val="28"/>
          <w:szCs w:val="28"/>
        </w:rPr>
        <w:t>“Apa</w:t>
      </w:r>
      <w:r>
        <w:rPr>
          <w:rFonts w:ascii="Arimo" w:hAnsi="Arimo"/>
          <w:color w:val="000000"/>
          <w:sz w:val="28"/>
          <w:szCs w:val="28"/>
          <w:lang w:val="it-IT"/>
        </w:rPr>
        <w:t>ùù</w:t>
      </w:r>
      <w:r>
        <w:rPr>
          <w:rFonts w:ascii="Arimo" w:hAnsi="Arimo"/>
          <w:color w:val="000000"/>
          <w:sz w:val="28"/>
          <w:szCs w:val="28"/>
        </w:rPr>
        <w:t>aka J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taka.”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de-DE"/>
        </w:rPr>
        <w:t xml:space="preserve">Abbhuta,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it-IT"/>
        </w:rPr>
        <w:t>Marvellous,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includes suttas connected with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wonderful and marvellous things (dhammas with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extraordinary qualities, which are amazing).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Vedalla includes suttas with questions and answers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that have as result understanding and delight, such as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  <w:lang w:val="it-IT"/>
        </w:rPr>
        <w:t xml:space="preserve">Cullavedallasutta. 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word of the Buddha consists of eighty-four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thousand units of text. The Venerable 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nanda learnt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eightytwo thousand units of text from the Exalted One, and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two thousand units of text from the bhikkhus, mainly from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Venerable 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riputta. Each theme is one unit of text. Thus,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sutta containing one theme is one unit of text. Where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there are questions and answers, each question forms one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unit of text and each answer forms one unit of text.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When the scriptures are classified as the Tipi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aka, they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are classified as threefold, namely: the Vinaya, the Suttanta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and the Abhidhamma.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The Vinaya 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Books of Discipline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consist of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five Books, namely: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Pariv</w:t>
      </w:r>
      <w:r>
        <w:rPr>
          <w:rFonts w:ascii="Arimo" w:hAnsi="Arimo"/>
          <w:color w:val="000000"/>
          <w:sz w:val="28"/>
          <w:szCs w:val="28"/>
          <w:lang w:val="da-DK"/>
        </w:rPr>
        <w:t>åra (Appendix Mahå</w:t>
      </w:r>
      <w:r>
        <w:rPr>
          <w:rFonts w:ascii="Arimo" w:hAnsi="Arimo"/>
          <w:color w:val="000000"/>
          <w:sz w:val="28"/>
          <w:szCs w:val="28"/>
        </w:rPr>
        <w:t>vibha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</w:rPr>
        <w:t>ga</w:t>
      </w:r>
      <w:r>
        <w:rPr>
          <w:rFonts w:ascii="Arimo" w:hAnsi="Arimo"/>
          <w:color w:val="000000"/>
          <w:sz w:val="28"/>
          <w:szCs w:val="28"/>
          <w:lang w:val="nl-NL"/>
        </w:rPr>
        <w:t>)</w:t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nl-NL"/>
        </w:rPr>
        <w:t>Bhikkhun</w:t>
      </w:r>
      <w:r>
        <w:rPr>
          <w:rFonts w:ascii="Arimo" w:hAnsi="Arimo"/>
          <w:color w:val="000000"/>
          <w:sz w:val="28"/>
          <w:szCs w:val="28"/>
        </w:rPr>
        <w:t>í-vibha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</w:rPr>
        <w:t>ga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6"/>
      </w:r>
      <w:r>
        <w:rPr>
          <w:rFonts w:ascii="Arimo" w:hAnsi="Arimo"/>
          <w:color w:val="000000"/>
          <w:sz w:val="28"/>
          <w:szCs w:val="28"/>
        </w:rPr>
        <w:t xml:space="preserve">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sv-SE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sv-SE"/>
        </w:rPr>
        <w:t xml:space="preserve">vagga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it-IT"/>
        </w:rPr>
        <w:t xml:space="preserve">Cullavagga (Accessory)  </w:t>
      </w:r>
    </w:p>
    <w:p>
      <w:pPr>
        <w:pStyle w:val="TextBody"/>
        <w:rPr>
          <w:rFonts w:ascii="Arimo" w:hAnsi="Arimo"/>
          <w:sz w:val="24"/>
          <w:szCs w:val="24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commentary that explains the Vinaya is the Samantap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dika</w:t>
      </w:r>
      <w:r>
        <w:rPr>
          <w:rFonts w:eastAsia="Arial Unicode MS" w:cs="Arial Unicode MS" w:ascii="Arimo" w:hAnsi="Arimo"/>
          <w:b w:val="false"/>
          <w:bCs w:val="false"/>
          <w:i w:val="false"/>
          <w:iCs w:val="false"/>
          <w:color w:val="000000"/>
          <w:sz w:val="28"/>
          <w:szCs w:val="28"/>
        </w:rPr>
        <w:t>̊</w:t>
      </w:r>
      <w:r>
        <w:rPr>
          <w:rFonts w:ascii="Arimo" w:hAnsi="Arimo"/>
          <w:color w:val="000000"/>
          <w:sz w:val="28"/>
          <w:szCs w:val="28"/>
        </w:rPr>
        <w:t>.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7"/>
      </w:r>
      <w:r>
        <w:rPr>
          <w:rFonts w:ascii="Arimo" w:hAnsi="Arimo"/>
          <w:sz w:val="24"/>
          <w:szCs w:val="24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it-IT"/>
        </w:rPr>
        <w:t>The Suttanta Piì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aka, or Discourses, consists of five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da-DK"/>
        </w:rPr>
        <w:t>Nikå</w:t>
      </w:r>
      <w:r>
        <w:rPr>
          <w:rFonts w:ascii="Arimo" w:hAnsi="Arimo"/>
          <w:color w:val="000000"/>
          <w:sz w:val="28"/>
          <w:szCs w:val="28"/>
        </w:rPr>
        <w:t>yas”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8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 namely, D</w:t>
      </w:r>
      <w:r>
        <w:rPr>
          <w:rFonts w:ascii="Arimo" w:hAnsi="Arimo"/>
          <w:color w:val="000000"/>
          <w:sz w:val="28"/>
          <w:szCs w:val="28"/>
        </w:rPr>
        <w:t>í</w:t>
      </w:r>
      <w:r>
        <w:rPr>
          <w:rFonts w:ascii="Arimo" w:hAnsi="Arimo"/>
          <w:color w:val="000000"/>
          <w:sz w:val="28"/>
          <w:szCs w:val="28"/>
          <w:lang w:val="da-DK"/>
        </w:rPr>
        <w:t>gha Nikå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Dialogues of the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da-DK"/>
        </w:rPr>
        <w:t>Buddha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9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</w:rPr>
        <w:t xml:space="preserve"> Majjhima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Middle Length Sayings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10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Saÿyutta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Kindred Sayings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11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</w:rPr>
        <w:t xml:space="preserve"> A</w:t>
      </w:r>
      <w:r>
        <w:rPr>
          <w:rFonts w:ascii="Arimo" w:hAnsi="Arimo"/>
          <w:color w:val="000000"/>
          <w:sz w:val="28"/>
          <w:szCs w:val="28"/>
          <w:lang w:val="it-IT"/>
        </w:rPr>
        <w:t>òguttara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or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Gradual Sayings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12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  <w:lang w:val="da-DK"/>
        </w:rPr>
        <w:t xml:space="preserve"> Khuddaka Nikå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The Minor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fr-FR"/>
        </w:rPr>
        <w:t>Collection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13"/>
      </w:r>
      <w:r>
        <w:rPr>
          <w:rFonts w:ascii="Arimo" w:hAnsi="Arimo"/>
          <w:color w:val="000000"/>
          <w:sz w:val="28"/>
          <w:szCs w:val="28"/>
          <w:lang w:val="nl-NL"/>
        </w:rPr>
        <w:t>.</w:t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D</w:t>
      </w:r>
      <w:r>
        <w:rPr>
          <w:rFonts w:ascii="Arimo" w:hAnsi="Arimo"/>
          <w:color w:val="000000"/>
          <w:sz w:val="28"/>
          <w:szCs w:val="28"/>
        </w:rPr>
        <w:t>í</w:t>
      </w:r>
      <w:r>
        <w:rPr>
          <w:rFonts w:ascii="Arimo" w:hAnsi="Arimo"/>
          <w:color w:val="000000"/>
          <w:sz w:val="28"/>
          <w:szCs w:val="28"/>
          <w:lang w:val="da-DK"/>
        </w:rPr>
        <w:t>gha Nikå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is a collection of long dialogues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(dí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gha means long), consisting of thirty-four suttas. This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collection is divided into three sections (in 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it-IT"/>
        </w:rPr>
        <w:t>li: vagga)</w:t>
      </w:r>
      <w:r>
        <w:rPr>
          <w:rStyle w:val="FootnoteAnchor"/>
          <w:rFonts w:ascii="Arimo" w:hAnsi="Arimo"/>
          <w:color w:val="000000"/>
          <w:sz w:val="28"/>
          <w:szCs w:val="28"/>
          <w:lang w:val="it-IT"/>
        </w:rPr>
        <w:footnoteReference w:id="14"/>
      </w:r>
      <w:r>
        <w:rPr>
          <w:rFonts w:ascii="Arimo" w:hAnsi="Arimo"/>
          <w:color w:val="000000"/>
          <w:sz w:val="28"/>
          <w:szCs w:val="28"/>
        </w:rPr>
        <w:t>: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Síla-kkhandha-vagga (sí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la means morality and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khandha means group)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it-IT"/>
        </w:rPr>
        <w:t>-vagga (mah</w:t>
      </w:r>
      <w:r>
        <w:rPr>
          <w:rFonts w:ascii="Arimo" w:hAnsi="Arimo"/>
          <w:color w:val="000000"/>
          <w:sz w:val="28"/>
          <w:szCs w:val="28"/>
        </w:rPr>
        <w:t xml:space="preserve">å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means great)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P</w:t>
      </w:r>
      <w:r>
        <w:rPr>
          <w:rFonts w:ascii="Arimo" w:hAnsi="Arimo"/>
          <w:color w:val="000000"/>
          <w:sz w:val="28"/>
          <w:szCs w:val="28"/>
          <w:lang w:val="it-IT"/>
        </w:rPr>
        <w:t>åì</w:t>
      </w:r>
      <w:r>
        <w:rPr>
          <w:rFonts w:ascii="Arimo" w:hAnsi="Arimo"/>
          <w:color w:val="000000"/>
          <w:sz w:val="28"/>
          <w:szCs w:val="28"/>
          <w:lang w:val="en-US"/>
        </w:rPr>
        <w:t>ika-vagga (called after the first sutta; P</w:t>
      </w:r>
      <w:r>
        <w:rPr>
          <w:rFonts w:ascii="Arimo" w:hAnsi="Arimo"/>
          <w:color w:val="000000"/>
          <w:sz w:val="28"/>
          <w:szCs w:val="28"/>
          <w:lang w:val="it-IT"/>
        </w:rPr>
        <w:t>åì</w:t>
      </w:r>
      <w:r>
        <w:rPr>
          <w:rFonts w:ascii="Arimo" w:hAnsi="Arimo"/>
          <w:color w:val="000000"/>
          <w:sz w:val="28"/>
          <w:szCs w:val="28"/>
        </w:rPr>
        <w:t xml:space="preserve">ika is 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proper name).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commentary to this collection is the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pt-PT"/>
        </w:rPr>
        <w:t>Suma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</w:rPr>
        <w:t>galavil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siní.”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The Majjhima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is a collection of suttas of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medium length (majjhima means middle), and it consists of 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hundred and fiftytwo suttas. It is divided into three parts,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which are called in 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li “pa</w:t>
      </w:r>
      <w:r>
        <w:rPr>
          <w:rFonts w:ascii="Arimo" w:hAnsi="Arimo"/>
          <w:color w:val="000000"/>
          <w:sz w:val="28"/>
          <w:szCs w:val="28"/>
          <w:lang w:val="it-IT"/>
        </w:rPr>
        <w:t>ùùå</w:t>
      </w:r>
      <w:r>
        <w:rPr>
          <w:rFonts w:ascii="Arimo" w:hAnsi="Arimo"/>
          <w:color w:val="000000"/>
          <w:sz w:val="28"/>
          <w:szCs w:val="28"/>
        </w:rPr>
        <w:t xml:space="preserve">sa,”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meaning fifty. The first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two parts consist of fifty suttas each and the third part of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fiftytwo suttas. They are called: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Múla-pa</w:t>
      </w:r>
      <w:r>
        <w:rPr>
          <w:rFonts w:ascii="Arimo" w:hAnsi="Arimo"/>
          <w:color w:val="000000"/>
          <w:sz w:val="28"/>
          <w:szCs w:val="28"/>
          <w:lang w:val="it-IT"/>
        </w:rPr>
        <w:t>ùùå</w:t>
      </w:r>
      <w:r>
        <w:rPr>
          <w:rFonts w:ascii="Arimo" w:hAnsi="Arimo"/>
          <w:color w:val="000000"/>
          <w:sz w:val="28"/>
          <w:szCs w:val="28"/>
        </w:rPr>
        <w:t>sa (mú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la means root), consisting of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five sections of ten suttas;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Majjhima-pa</w:t>
      </w:r>
      <w:r>
        <w:rPr>
          <w:rFonts w:ascii="Arimo" w:hAnsi="Arimo"/>
          <w:color w:val="000000"/>
          <w:sz w:val="28"/>
          <w:szCs w:val="28"/>
          <w:lang w:val="it-IT"/>
        </w:rPr>
        <w:t>ùùå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sa, consisting of five sections of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ten suttas;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Upari-pa</w:t>
      </w:r>
      <w:r>
        <w:rPr>
          <w:rFonts w:ascii="Arimo" w:hAnsi="Arimo"/>
          <w:color w:val="000000"/>
          <w:sz w:val="28"/>
          <w:szCs w:val="28"/>
          <w:lang w:val="it-IT"/>
        </w:rPr>
        <w:t>ùùå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sa (upari means above or later),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consisting of five sections, of which four have ten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suttas and the fifth has twelve suttas. 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commentary to this collection is the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it-IT"/>
        </w:rPr>
        <w:t>Papa</w:t>
      </w:r>
      <w:r>
        <w:rPr>
          <w:rFonts w:ascii="Arimo" w:hAnsi="Arimo"/>
          <w:color w:val="000000"/>
          <w:sz w:val="28"/>
          <w:szCs w:val="28"/>
          <w:lang w:val="en-US"/>
        </w:rPr>
        <w:t>ñ</w:t>
      </w:r>
      <w:r>
        <w:rPr>
          <w:rFonts w:ascii="Arimo" w:hAnsi="Arimo"/>
          <w:color w:val="000000"/>
          <w:sz w:val="28"/>
          <w:szCs w:val="28"/>
          <w:lang w:val="it-IT"/>
        </w:rPr>
        <w:t>cas</w:t>
      </w:r>
      <w:r>
        <w:rPr>
          <w:rFonts w:ascii="Arimo" w:hAnsi="Arimo"/>
          <w:color w:val="000000"/>
          <w:sz w:val="28"/>
          <w:szCs w:val="28"/>
        </w:rPr>
        <w:t xml:space="preserve">údaní.” 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Sa</w:t>
      </w:r>
      <w:r>
        <w:rPr>
          <w:rFonts w:ascii="Arimo" w:hAnsi="Arimo"/>
          <w:color w:val="000000"/>
          <w:sz w:val="28"/>
          <w:szCs w:val="28"/>
        </w:rPr>
        <w:t>ÿyutta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ya is a group of suttas (sa</w:t>
      </w:r>
      <w:r>
        <w:rPr>
          <w:rFonts w:ascii="Arimo" w:hAnsi="Arimo"/>
          <w:color w:val="000000"/>
          <w:sz w:val="28"/>
          <w:szCs w:val="28"/>
        </w:rPr>
        <w:t xml:space="preserve">ÿyutta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means joined, connected) divided into five main divisions,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namely: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Sag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-vagga (g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</w:rPr>
        <w:t xml:space="preserve">å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means verse, with verses),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with eleven sections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Nid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sv-SE"/>
        </w:rPr>
        <w:t>na-vagga (nid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na means origin or cause),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consisting of nine sections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Khandha-vagga (dealing with the five khandhas),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consisting of thirteen sections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Saîåyatana-vagga (saîå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yatana is the sixfold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yatana or sense spheres), consisting of ten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nl-NL"/>
        </w:rPr>
      </w:pPr>
      <w:r>
        <w:rPr>
          <w:rFonts w:ascii="Arimo" w:hAnsi="Arimo"/>
          <w:color w:val="000000"/>
          <w:sz w:val="28"/>
          <w:szCs w:val="28"/>
          <w:lang w:val="fr-FR"/>
        </w:rPr>
        <w:t>sections</w:t>
      </w:r>
      <w:r>
        <w:rPr>
          <w:rFonts w:ascii="Arimo" w:hAnsi="Arimo"/>
          <w:color w:val="000000"/>
          <w:sz w:val="28"/>
          <w:szCs w:val="28"/>
          <w:lang w:val="nl-NL"/>
        </w:rPr>
        <w:t>.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-vagga (great chapter), consisting of twelve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fr-FR"/>
        </w:rPr>
      </w:pPr>
      <w:r>
        <w:rPr>
          <w:rFonts w:ascii="Arimo" w:hAnsi="Arimo"/>
          <w:color w:val="000000"/>
          <w:sz w:val="28"/>
          <w:szCs w:val="28"/>
          <w:lang w:val="fr-FR"/>
        </w:rPr>
        <w:t xml:space="preserve">sections.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commentary to this collection is the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</w:rPr>
        <w:t>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nl-NL"/>
        </w:rPr>
        <w:t>ratthappak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siní.”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</w:t>
      </w:r>
      <w:r>
        <w:rPr>
          <w:rFonts w:ascii="Arimo" w:hAnsi="Arimo"/>
          <w:color w:val="000000"/>
          <w:sz w:val="28"/>
          <w:szCs w:val="28"/>
        </w:rPr>
        <w:t>“A</w:t>
      </w:r>
      <w:r>
        <w:rPr>
          <w:rFonts w:ascii="Arimo" w:hAnsi="Arimo"/>
          <w:color w:val="000000"/>
          <w:sz w:val="28"/>
          <w:szCs w:val="28"/>
          <w:lang w:val="it-IT"/>
        </w:rPr>
        <w:t>òguttara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ya”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consists of suttas grouped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according to the numbers of Dhamma subjects or points dealt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with. They are arranged in order, from one to eleven. Thus,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there are eleven </w:t>
      </w:r>
      <w:r>
        <w:rPr>
          <w:rFonts w:ascii="Arimo" w:hAnsi="Arimo"/>
          <w:color w:val="000000"/>
          <w:sz w:val="28"/>
          <w:szCs w:val="28"/>
        </w:rPr>
        <w:t>“nip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ta,”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or sections in all.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Book of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Ones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consists of suttas dealing with one kind of subject, and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so on up to the Book of the Elevens. Summarizing them, they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  <w:lang w:val="it-IT"/>
        </w:rPr>
        <w:t xml:space="preserve">are: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Eka-nip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 (eka means one), Book of the Ones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Duka-nip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 (duka, from dve, two, meaning pair),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Book of the Twos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Tika-nip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Threes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Catuka-nip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Fours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Pa</w:t>
      </w:r>
      <w:r>
        <w:rPr>
          <w:rFonts w:ascii="Arimo" w:hAnsi="Arimo"/>
          <w:color w:val="000000"/>
          <w:sz w:val="28"/>
          <w:szCs w:val="28"/>
          <w:lang w:val="en-US"/>
        </w:rPr>
        <w:t>ñ</w:t>
      </w:r>
      <w:r>
        <w:rPr>
          <w:rFonts w:ascii="Arimo" w:hAnsi="Arimo"/>
          <w:color w:val="000000"/>
          <w:sz w:val="28"/>
          <w:szCs w:val="28"/>
        </w:rPr>
        <w:t>caka-nip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Fives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Chaka-nip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Sixes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Sattaka-nip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Sevens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A</w:t>
      </w:r>
      <w:r>
        <w:rPr>
          <w:rFonts w:ascii="Arimo" w:hAnsi="Arimo"/>
          <w:color w:val="000000"/>
          <w:sz w:val="28"/>
          <w:szCs w:val="28"/>
          <w:lang w:val="it-IT"/>
        </w:rPr>
        <w:t>ìì</w:t>
      </w:r>
      <w:r>
        <w:rPr>
          <w:rFonts w:ascii="Arimo" w:hAnsi="Arimo"/>
          <w:color w:val="000000"/>
          <w:sz w:val="28"/>
          <w:szCs w:val="28"/>
        </w:rPr>
        <w:t>haka-nip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Eights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Navaka-nip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Nines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e-DE"/>
        </w:rPr>
        <w:t>Dasaka-nip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Tens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a-DK"/>
        </w:rPr>
        <w:t>Ekå</w:t>
      </w:r>
      <w:r>
        <w:rPr>
          <w:rFonts w:ascii="Arimo" w:hAnsi="Arimo"/>
          <w:color w:val="000000"/>
          <w:sz w:val="28"/>
          <w:szCs w:val="28"/>
        </w:rPr>
        <w:t>dasaka-nip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ta, Book of the Elevens.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commentary to the A</w:t>
      </w:r>
      <w:r>
        <w:rPr>
          <w:rFonts w:ascii="Arimo" w:hAnsi="Arimo"/>
          <w:color w:val="000000"/>
          <w:sz w:val="28"/>
          <w:szCs w:val="28"/>
          <w:lang w:val="it-IT"/>
        </w:rPr>
        <w:t>òguttara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is the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Manorathap</w:t>
      </w:r>
      <w:r>
        <w:rPr>
          <w:rFonts w:ascii="Arimo" w:hAnsi="Arimo"/>
          <w:color w:val="000000"/>
          <w:sz w:val="28"/>
          <w:szCs w:val="28"/>
        </w:rPr>
        <w:t xml:space="preserve">úraní.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Apart from these four Nik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yas, there is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da-DK"/>
        </w:rPr>
        <w:t>Khuddaka Nikå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ya, which contains the word of the Buddha.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This consists of the following books: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nl-NL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sv-SE"/>
        </w:rPr>
        <w:t>Khuddakap</w:t>
      </w:r>
      <w:r>
        <w:rPr>
          <w:rFonts w:ascii="Arimo" w:hAnsi="Arimo"/>
          <w:color w:val="000000"/>
          <w:sz w:val="28"/>
          <w:szCs w:val="28"/>
          <w:lang w:val="it-IT"/>
        </w:rPr>
        <w:t>åì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ha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Minor Readings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15"/>
      </w:r>
      <w:r>
        <w:rPr>
          <w:rFonts w:ascii="Arimo" w:hAnsi="Arimo"/>
          <w:color w:val="000000"/>
          <w:sz w:val="28"/>
          <w:szCs w:val="28"/>
          <w:lang w:val="nl-NL"/>
        </w:rPr>
        <w:t>.</w:t>
      </w:r>
    </w:p>
    <w:p>
      <w:pPr>
        <w:pStyle w:val="TextBody"/>
        <w:rPr>
          <w:rStyle w:val="FootnoteAnchor"/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Dhammapada (pada means word or phrase)</w:t>
      </w:r>
      <w:r>
        <w:rPr>
          <w:rStyle w:val="FootnoteAnchor"/>
          <w:rFonts w:ascii="Arimo" w:hAnsi="Arimo"/>
          <w:color w:val="000000"/>
          <w:sz w:val="28"/>
          <w:szCs w:val="28"/>
          <w:lang w:val="en-US"/>
        </w:rPr>
        <w:footnoteReference w:id="16"/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a-DK"/>
        </w:rPr>
        <w:t>Udå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na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Verses of Uplift.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Itivuttaka or “</w:t>
      </w:r>
      <w:r>
        <w:rPr>
          <w:rFonts w:ascii="Arimo" w:hAnsi="Arimo"/>
          <w:color w:val="000000"/>
          <w:sz w:val="28"/>
          <w:szCs w:val="28"/>
          <w:lang w:val="en-US"/>
        </w:rPr>
        <w:t>As it was said.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Suttanip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The Group of Discourses.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Vim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navatthu or “</w:t>
      </w:r>
      <w:r>
        <w:rPr>
          <w:rFonts w:ascii="Arimo" w:hAnsi="Arimo"/>
          <w:color w:val="000000"/>
          <w:sz w:val="28"/>
          <w:szCs w:val="28"/>
          <w:lang w:val="en-US"/>
        </w:rPr>
        <w:t>Stories of the Mansions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(in Minor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Anthologies IV).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Petavatthu or “</w:t>
      </w:r>
      <w:r>
        <w:rPr>
          <w:rFonts w:ascii="Arimo" w:hAnsi="Arimo"/>
          <w:color w:val="000000"/>
          <w:sz w:val="28"/>
          <w:szCs w:val="28"/>
          <w:lang w:val="en-US"/>
        </w:rPr>
        <w:t>Stories of the Departed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(in Minor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Anthologies IV).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Therag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</w:rPr>
        <w:t>å or “</w:t>
      </w:r>
      <w:r>
        <w:rPr>
          <w:rFonts w:ascii="Arimo" w:hAnsi="Arimo"/>
          <w:color w:val="000000"/>
          <w:sz w:val="28"/>
          <w:szCs w:val="28"/>
          <w:lang w:val="en-US"/>
        </w:rPr>
        <w:t>Psalms of the Brethren.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Ther</w:t>
      </w:r>
      <w:r>
        <w:rPr>
          <w:rFonts w:ascii="Arimo" w:hAnsi="Arimo"/>
          <w:color w:val="000000"/>
          <w:sz w:val="28"/>
          <w:szCs w:val="28"/>
        </w:rPr>
        <w:t>íg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</w:rPr>
        <w:t>å or “</w:t>
      </w:r>
      <w:r>
        <w:rPr>
          <w:rFonts w:ascii="Arimo" w:hAnsi="Arimo"/>
          <w:color w:val="000000"/>
          <w:sz w:val="28"/>
          <w:szCs w:val="28"/>
          <w:lang w:val="en-US"/>
        </w:rPr>
        <w:t>Psalms of the Sisters.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J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taka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Stories of the Buddha</w:t>
      </w:r>
      <w:r>
        <w:rPr>
          <w:rFonts w:ascii="Arimo" w:hAnsi="Arimo"/>
          <w:color w:val="000000"/>
          <w:sz w:val="28"/>
          <w:szCs w:val="28"/>
        </w:rPr>
        <w:t>’</w:t>
      </w:r>
      <w:r>
        <w:rPr>
          <w:rFonts w:ascii="Arimo" w:hAnsi="Arimo"/>
          <w:color w:val="000000"/>
          <w:sz w:val="28"/>
          <w:szCs w:val="28"/>
          <w:lang w:val="da-DK"/>
        </w:rPr>
        <w:t>s Former Births</w:t>
      </w:r>
      <w:r>
        <w:rPr>
          <w:rFonts w:ascii="Arimo" w:hAnsi="Arimo"/>
          <w:color w:val="000000"/>
          <w:sz w:val="28"/>
          <w:szCs w:val="28"/>
        </w:rPr>
        <w:t xml:space="preserve">” (in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three volumes by P.T.S.).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-Niddesa (niddesa means descriptive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exposition). 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Cúîa-Niddesa (cúî</w:t>
      </w:r>
      <w:r>
        <w:rPr>
          <w:rFonts w:ascii="Arimo" w:hAnsi="Arimo"/>
          <w:color w:val="000000"/>
          <w:sz w:val="28"/>
          <w:szCs w:val="28"/>
          <w:lang w:val="en-US"/>
        </w:rPr>
        <w:t>a or culla means small).</w:t>
      </w:r>
      <w:r>
        <w:rPr>
          <w:rStyle w:val="FootnoteAnchor"/>
          <w:rFonts w:ascii="Arimo" w:hAnsi="Arimo"/>
          <w:color w:val="000000"/>
          <w:sz w:val="28"/>
          <w:szCs w:val="28"/>
          <w:lang w:val="en-US"/>
        </w:rPr>
        <w:footnoteReference w:id="17"/>
      </w:r>
      <w:r>
        <w:rPr>
          <w:rFonts w:ascii="Arimo" w:hAnsi="Arimo"/>
          <w:color w:val="000000"/>
          <w:sz w:val="28"/>
          <w:szCs w:val="28"/>
        </w:rPr>
        <w:t xml:space="preserve"> 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Pa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</w:rPr>
        <w:t>isambhid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it-IT"/>
        </w:rPr>
        <w:t xml:space="preserve">magga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The Path of Discrimination.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numPr>
          <w:ilvl w:val="0"/>
          <w:numId w:val="1"/>
        </w:numPr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Apad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na (life histories).</w:t>
      </w:r>
      <w:r>
        <w:rPr>
          <w:rStyle w:val="FootnoteAnchor"/>
          <w:rFonts w:ascii="Arimo" w:hAnsi="Arimo"/>
          <w:color w:val="000000"/>
          <w:sz w:val="28"/>
          <w:szCs w:val="28"/>
          <w:lang w:val="en-US"/>
        </w:rPr>
        <w:footnoteReference w:id="18"/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Buddhavaÿ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sa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Chronicle of the Buddhas</w:t>
      </w:r>
      <w:r>
        <w:rPr>
          <w:rFonts w:ascii="Arimo" w:hAnsi="Arimo"/>
          <w:color w:val="000000"/>
          <w:sz w:val="28"/>
          <w:szCs w:val="28"/>
        </w:rPr>
        <w:t xml:space="preserve">” (in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Minor Anthologies III).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Cariy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Basket of Conduct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(in Minor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Anthologies III).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commentaries to these collections of the Khuddaka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da-DK"/>
        </w:rPr>
        <w:t>Nikå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ya are the following: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The Paramatthajotik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which is the commentary to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da-DK"/>
        </w:rPr>
        <w:t>the Khuddakapå</w:t>
      </w:r>
      <w:r>
        <w:rPr>
          <w:rFonts w:ascii="Arimo" w:hAnsi="Arimo"/>
          <w:color w:val="000000"/>
          <w:sz w:val="28"/>
          <w:szCs w:val="28"/>
          <w:lang w:val="en-US"/>
        </w:rPr>
        <w:t>tha and the Suttanip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ta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19"/>
      </w:r>
      <w:r>
        <w:rPr>
          <w:rFonts w:ascii="Arimo" w:hAnsi="Arimo"/>
          <w:color w:val="000000"/>
          <w:sz w:val="28"/>
          <w:szCs w:val="28"/>
        </w:rPr>
        <w:t xml:space="preserve">.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Dhammapada</w:t>
      </w:r>
      <w:r>
        <w:rPr>
          <w:rFonts w:ascii="Arimo" w:hAnsi="Arimo"/>
          <w:color w:val="000000"/>
          <w:sz w:val="28"/>
          <w:szCs w:val="28"/>
          <w:lang w:val="it-IT"/>
        </w:rPr>
        <w:t>ìì</w:t>
      </w:r>
      <w:r>
        <w:rPr>
          <w:rFonts w:ascii="Arimo" w:hAnsi="Arimo"/>
          <w:color w:val="000000"/>
          <w:sz w:val="28"/>
          <w:szCs w:val="28"/>
        </w:rPr>
        <w:t>hakathå or “</w:t>
      </w:r>
      <w:r>
        <w:rPr>
          <w:rFonts w:ascii="Arimo" w:hAnsi="Arimo"/>
          <w:color w:val="000000"/>
          <w:sz w:val="28"/>
          <w:szCs w:val="28"/>
          <w:lang w:val="de-DE"/>
        </w:rPr>
        <w:t>Buddhist Legends</w:t>
      </w:r>
      <w:r>
        <w:rPr>
          <w:rFonts w:ascii="Arimo" w:hAnsi="Arimo"/>
          <w:color w:val="000000"/>
          <w:sz w:val="28"/>
          <w:szCs w:val="28"/>
        </w:rPr>
        <w:t xml:space="preserve">” (in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three volumes by the P.T.S.) which is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commentary to the Dhammapada.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The Paramatthad</w:t>
      </w:r>
      <w:r>
        <w:rPr>
          <w:rFonts w:ascii="Arimo" w:hAnsi="Arimo"/>
          <w:color w:val="000000"/>
          <w:sz w:val="28"/>
          <w:szCs w:val="28"/>
        </w:rPr>
        <w:t>ípaní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which is the Commentary to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Ud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na, the Itivuttaka, the Petavatthu,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Therag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, the Ther</w:t>
      </w:r>
      <w:r>
        <w:rPr>
          <w:rFonts w:ascii="Arimo" w:hAnsi="Arimo"/>
          <w:color w:val="000000"/>
          <w:sz w:val="28"/>
          <w:szCs w:val="28"/>
        </w:rPr>
        <w:t>íg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, the Cariy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 and the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Vim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navatthu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20"/>
      </w:r>
      <w:r>
        <w:rPr>
          <w:rFonts w:ascii="Arimo" w:hAnsi="Arimo"/>
          <w:color w:val="000000"/>
          <w:sz w:val="28"/>
          <w:szCs w:val="28"/>
          <w:lang w:val="nl-NL"/>
        </w:rPr>
        <w:t>.</w:t>
      </w:r>
      <w:r>
        <w:rPr>
          <w:rFonts w:ascii="Arimo" w:hAnsi="Arimo"/>
          <w:color w:val="000000"/>
          <w:sz w:val="28"/>
          <w:szCs w:val="28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The J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takatthava</w:t>
      </w:r>
      <w:r>
        <w:rPr>
          <w:rFonts w:ascii="Arimo" w:hAnsi="Arimo"/>
          <w:color w:val="000000"/>
          <w:sz w:val="28"/>
          <w:szCs w:val="28"/>
          <w:lang w:val="it-IT"/>
        </w:rPr>
        <w:t>ùù</w:t>
      </w:r>
      <w:r>
        <w:rPr>
          <w:rFonts w:ascii="Arimo" w:hAnsi="Arimo"/>
          <w:color w:val="000000"/>
          <w:sz w:val="28"/>
          <w:szCs w:val="28"/>
        </w:rPr>
        <w:t>an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which is the commentary to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J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taka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21"/>
      </w:r>
      <w:r>
        <w:rPr>
          <w:rFonts w:ascii="Arimo" w:hAnsi="Arimo"/>
          <w:color w:val="000000"/>
          <w:sz w:val="28"/>
          <w:szCs w:val="28"/>
        </w:rPr>
        <w:t>.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The Saddhammapajjotika, which is the commentary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to the 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-Niddesa and the C</w:t>
      </w:r>
      <w:r>
        <w:rPr>
          <w:rFonts w:ascii="Arimo" w:hAnsi="Arimo"/>
          <w:color w:val="000000"/>
          <w:sz w:val="28"/>
          <w:szCs w:val="28"/>
        </w:rPr>
        <w:t xml:space="preserve">úîa-Niddesa.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nl-NL"/>
        </w:rPr>
        <w:t>The Saddhammappak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siní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which is the commentary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  <w:lang w:val="en-US"/>
        </w:rPr>
        <w:t>to the Pa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</w:rPr>
        <w:t>isambhid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it-IT"/>
        </w:rPr>
        <w:t xml:space="preserve">magga.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a-DK"/>
        </w:rPr>
        <w:t>The Visuddhajanavilå</w:t>
      </w:r>
      <w:r>
        <w:rPr>
          <w:rFonts w:ascii="Arimo" w:hAnsi="Arimo"/>
          <w:color w:val="000000"/>
          <w:sz w:val="28"/>
          <w:szCs w:val="28"/>
        </w:rPr>
        <w:t>siní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which is the commentary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to the Apad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na.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en-US"/>
        </w:rPr>
        <w:t>The Madhuratthavil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siní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The Clarifier of Sweet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Meaning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(P.T.S.), which is the commentary to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</w:rPr>
        <w:t>Buddhavaÿ</w:t>
      </w:r>
      <w:r>
        <w:rPr>
          <w:rFonts w:ascii="Arimo" w:hAnsi="Arimo"/>
          <w:color w:val="000000"/>
          <w:sz w:val="28"/>
          <w:szCs w:val="28"/>
          <w:lang w:val="it-IT"/>
        </w:rPr>
        <w:t xml:space="preserve">sa.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it-IT"/>
        </w:rPr>
        <w:t>The Abhidhamma Piì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 consists of the following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seven Books: </w:t>
      </w:r>
    </w:p>
    <w:p>
      <w:pPr>
        <w:pStyle w:val="TextBody"/>
        <w:rPr>
          <w:rFonts w:ascii="Arimo" w:hAnsi="Arimo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Dhammasa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</w:rPr>
        <w:t>ga</w:t>
      </w:r>
      <w:r>
        <w:rPr>
          <w:rFonts w:ascii="Arimo" w:hAnsi="Arimo"/>
          <w:color w:val="000000"/>
          <w:sz w:val="28"/>
          <w:szCs w:val="28"/>
          <w:lang w:val="it-IT"/>
        </w:rPr>
        <w:t xml:space="preserve">ùí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(translated by PTS as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Buddhist Psychological Ethics,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and also translated by U Kyaw Khine) </w:t>
      </w:r>
      <w:r>
        <w:rPr>
          <w:rFonts w:ascii="Arimo" w:hAnsi="Arimo"/>
          <w:sz w:val="28"/>
          <w:szCs w:val="28"/>
          <w:lang w:val="en-US"/>
        </w:rPr>
        <w:t>and this has as commentary the A</w:t>
      </w:r>
      <w:r>
        <w:rPr>
          <w:rFonts w:ascii="Arimo" w:hAnsi="Arimo"/>
          <w:sz w:val="28"/>
          <w:szCs w:val="28"/>
          <w:lang w:val="it-IT"/>
        </w:rPr>
        <w:t>ìì</w:t>
      </w:r>
      <w:r>
        <w:rPr>
          <w:rFonts w:ascii="Arimo" w:hAnsi="Arimo"/>
          <w:sz w:val="28"/>
          <w:szCs w:val="28"/>
          <w:lang w:val="en-US"/>
        </w:rPr>
        <w:t>has</w:t>
      </w:r>
      <w:r>
        <w:rPr>
          <w:rFonts w:ascii="Arimo" w:hAnsi="Arimo"/>
          <w:sz w:val="28"/>
          <w:szCs w:val="28"/>
          <w:lang w:val="da-DK"/>
        </w:rPr>
        <w:t>å</w:t>
      </w:r>
      <w:r>
        <w:rPr>
          <w:rFonts w:ascii="Arimo" w:hAnsi="Arimo"/>
          <w:sz w:val="28"/>
          <w:szCs w:val="28"/>
        </w:rPr>
        <w:t>liní (“</w:t>
      </w:r>
      <w:r>
        <w:rPr>
          <w:rFonts w:ascii="Arimo" w:hAnsi="Arimo"/>
          <w:sz w:val="28"/>
          <w:szCs w:val="28"/>
          <w:lang w:val="pt-PT"/>
        </w:rPr>
        <w:t>The Expositor.</w:t>
      </w:r>
      <w:r>
        <w:rPr>
          <w:rFonts w:ascii="Arimo" w:hAnsi="Arimo"/>
          <w:sz w:val="28"/>
          <w:szCs w:val="28"/>
        </w:rPr>
        <w:t>”)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e-DE"/>
        </w:rPr>
        <w:t>Vibha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ga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The Book of Analysis,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which has as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commentary the Sammohavinodan</w:t>
      </w:r>
      <w:r>
        <w:rPr>
          <w:rFonts w:ascii="Arimo" w:hAnsi="Arimo"/>
          <w:color w:val="000000"/>
          <w:sz w:val="28"/>
          <w:szCs w:val="28"/>
        </w:rPr>
        <w:t>í or “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Dispeller of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it-IT"/>
        </w:rPr>
        <w:t>Delusion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22"/>
      </w:r>
      <w:r>
        <w:rPr>
          <w:rFonts w:ascii="Arimo" w:hAnsi="Arimo"/>
          <w:color w:val="000000"/>
          <w:sz w:val="28"/>
          <w:szCs w:val="28"/>
        </w:rPr>
        <w:t xml:space="preserve">.”                                                                               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e-DE"/>
        </w:rPr>
        <w:t>Dh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tukathå or “</w:t>
      </w:r>
      <w:r>
        <w:rPr>
          <w:rFonts w:ascii="Arimo" w:hAnsi="Arimo"/>
          <w:color w:val="000000"/>
          <w:sz w:val="28"/>
          <w:szCs w:val="28"/>
          <w:lang w:val="fr-FR"/>
        </w:rPr>
        <w:t>Discourse on Elements.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Puggalapa</w:t>
      </w:r>
      <w:r>
        <w:rPr>
          <w:rFonts w:ascii="Arimo" w:hAnsi="Arimo"/>
          <w:color w:val="000000"/>
          <w:sz w:val="28"/>
          <w:szCs w:val="28"/>
          <w:lang w:val="en-US"/>
        </w:rPr>
        <w:t>ññ</w:t>
      </w:r>
      <w:r>
        <w:rPr>
          <w:rFonts w:ascii="Arimo" w:hAnsi="Arimo"/>
          <w:color w:val="000000"/>
          <w:sz w:val="28"/>
          <w:szCs w:val="28"/>
        </w:rPr>
        <w:t>atti or “</w:t>
      </w:r>
      <w:r>
        <w:rPr>
          <w:rFonts w:ascii="Arimo" w:hAnsi="Arimo"/>
          <w:color w:val="000000"/>
          <w:sz w:val="28"/>
          <w:szCs w:val="28"/>
          <w:lang w:val="en-US"/>
        </w:rPr>
        <w:t>a Designation of Human Types.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Kath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vatthu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Points of Controversy.</w:t>
      </w:r>
      <w:r>
        <w:rPr>
          <w:rFonts w:ascii="Arimo" w:hAnsi="Arimo"/>
          <w:color w:val="000000"/>
          <w:sz w:val="28"/>
          <w:szCs w:val="28"/>
        </w:rPr>
        <w:t xml:space="preserve">”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nl-NL"/>
        </w:rPr>
      </w:pPr>
      <w:r>
        <w:rPr>
          <w:rFonts w:ascii="Arimo" w:hAnsi="Arimo"/>
          <w:color w:val="000000"/>
          <w:sz w:val="28"/>
          <w:szCs w:val="28"/>
        </w:rPr>
        <w:t>Yamaka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or “The Book of Pairs”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23"/>
      </w:r>
      <w:r>
        <w:rPr>
          <w:rFonts w:ascii="Arimo" w:hAnsi="Arimo"/>
          <w:color w:val="000000"/>
          <w:sz w:val="28"/>
          <w:szCs w:val="28"/>
        </w:rPr>
        <w:t xml:space="preserve">. 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Pa</w:t>
      </w:r>
      <w:r>
        <w:rPr>
          <w:rFonts w:ascii="Arimo" w:hAnsi="Arimo"/>
          <w:color w:val="000000"/>
          <w:sz w:val="28"/>
          <w:szCs w:val="28"/>
          <w:lang w:val="it-IT"/>
        </w:rPr>
        <w:t>ìì</w:t>
      </w:r>
      <w:r>
        <w:rPr>
          <w:rFonts w:ascii="Arimo" w:hAnsi="Arimo"/>
          <w:color w:val="000000"/>
          <w:sz w:val="28"/>
          <w:szCs w:val="28"/>
        </w:rPr>
        <w:t>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na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fr-FR"/>
        </w:rPr>
        <w:t>Conditional Relations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”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24"/>
      </w:r>
      <w:r>
        <w:rPr>
          <w:rFonts w:ascii="Arimo" w:hAnsi="Arimo"/>
          <w:color w:val="000000"/>
          <w:sz w:val="28"/>
          <w:szCs w:val="28"/>
        </w:rPr>
        <w:t xml:space="preserve">.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As to the commentary to the last five Books of the </w:t>
      </w:r>
    </w:p>
    <w:p>
      <w:pPr>
        <w:pStyle w:val="TextBody"/>
        <w:rPr>
          <w:rStyle w:val="FootnoteAnchor"/>
          <w:rFonts w:ascii="Arimo" w:hAnsi="Arimo"/>
          <w:color w:val="000000"/>
          <w:sz w:val="28"/>
          <w:szCs w:val="28"/>
          <w:lang w:val="nl-NL"/>
        </w:rPr>
      </w:pPr>
      <w:r>
        <w:rPr>
          <w:rFonts w:ascii="Arimo" w:hAnsi="Arimo"/>
          <w:color w:val="000000"/>
          <w:sz w:val="28"/>
          <w:szCs w:val="28"/>
          <w:lang w:val="en-US"/>
        </w:rPr>
        <w:t>Abhidhamma, this is the Pa</w:t>
      </w:r>
      <w:r>
        <w:rPr>
          <w:rFonts w:ascii="Arimo" w:hAnsi="Arimo"/>
          <w:color w:val="000000"/>
          <w:sz w:val="28"/>
          <w:szCs w:val="28"/>
          <w:lang w:val="en-US"/>
        </w:rPr>
        <w:t>ñ</w:t>
      </w:r>
      <w:r>
        <w:rPr>
          <w:rFonts w:ascii="Arimo" w:hAnsi="Arimo"/>
          <w:color w:val="000000"/>
          <w:sz w:val="28"/>
          <w:szCs w:val="28"/>
          <w:lang w:val="it-IT"/>
        </w:rPr>
        <w:t>cappakaraù</w:t>
      </w:r>
      <w:r>
        <w:rPr>
          <w:rFonts w:ascii="Arimo" w:hAnsi="Arimo"/>
          <w:color w:val="000000"/>
          <w:sz w:val="28"/>
          <w:szCs w:val="28"/>
          <w:lang w:val="en-US"/>
        </w:rPr>
        <w:t>atthakath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25"/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 greater part of the commentaries to the Tipi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</w:rPr>
        <w:t xml:space="preserve">aka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is from the hand of the great commentator Buddhaghosa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26"/>
      </w:r>
      <w:r>
        <w:rPr>
          <w:rFonts w:ascii="Arimo" w:hAnsi="Arimo"/>
          <w:color w:val="000000"/>
          <w:sz w:val="28"/>
          <w:szCs w:val="28"/>
        </w:rPr>
        <w:t xml:space="preserve">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He translated into 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li, compiled and arranged material from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 ancient commentaries, which were in Sinhalese.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These commentaries, the 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-Atthakath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, the 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-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it-IT"/>
        </w:rPr>
        <w:t>Paccar</w:t>
      </w:r>
      <w:r>
        <w:rPr>
          <w:rFonts w:ascii="Arimo" w:hAnsi="Arimo"/>
          <w:color w:val="000000"/>
          <w:sz w:val="28"/>
          <w:szCs w:val="28"/>
        </w:rPr>
        <w:t xml:space="preserve">í </w:t>
      </w:r>
      <w:r>
        <w:rPr>
          <w:rFonts w:ascii="Arimo" w:hAnsi="Arimo"/>
          <w:color w:val="000000"/>
          <w:sz w:val="28"/>
          <w:szCs w:val="28"/>
          <w:lang w:val="en-US"/>
        </w:rPr>
        <w:t>and the Kuru</w:t>
      </w:r>
      <w:r>
        <w:rPr>
          <w:rFonts w:ascii="Arimo" w:hAnsi="Arimo"/>
          <w:color w:val="000000"/>
          <w:sz w:val="28"/>
          <w:szCs w:val="28"/>
          <w:lang w:val="it-IT"/>
        </w:rPr>
        <w:t>ùè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i, stemmed from the time of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Thera Mahinda, the son of the great King Asoka who came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  <w:lang w:val="it-IT"/>
        </w:rPr>
        <w:t xml:space="preserve">to Sri Lanka in order to propagate Buddhism. 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Furthermore, there are sub-commentaries, called </w:t>
      </w:r>
      <w:r>
        <w:rPr>
          <w:rFonts w:ascii="Arimo" w:hAnsi="Arimo"/>
          <w:color w:val="000000"/>
          <w:sz w:val="28"/>
          <w:szCs w:val="28"/>
          <w:lang w:val="it-IT"/>
        </w:rPr>
        <w:t>ìí</w:t>
      </w:r>
      <w:r>
        <w:rPr>
          <w:rFonts w:ascii="Arimo" w:hAnsi="Arimo"/>
          <w:color w:val="000000"/>
          <w:sz w:val="28"/>
          <w:szCs w:val="28"/>
        </w:rPr>
        <w:t xml:space="preserve">kå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in 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li, which explain the commentaries. These are the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>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ratthad</w:t>
      </w:r>
      <w:r>
        <w:rPr>
          <w:rFonts w:ascii="Arimo" w:hAnsi="Arimo"/>
          <w:color w:val="000000"/>
          <w:sz w:val="28"/>
          <w:szCs w:val="28"/>
        </w:rPr>
        <w:t>ípaní</w:t>
      </w:r>
      <w:r>
        <w:rPr>
          <w:rFonts w:ascii="Arimo" w:hAnsi="Arimo"/>
          <w:color w:val="000000"/>
          <w:sz w:val="28"/>
          <w:szCs w:val="28"/>
          <w:lang w:val="en-US"/>
        </w:rPr>
        <w:t>, a sub-commentary to the Samantap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dik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which is the commentary to the Vinaya, the 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rattha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Ma</w:t>
      </w:r>
      <w:r>
        <w:rPr>
          <w:rFonts w:ascii="Arimo" w:hAnsi="Arimo"/>
          <w:color w:val="000000"/>
          <w:sz w:val="28"/>
          <w:szCs w:val="28"/>
          <w:lang w:val="en-US"/>
        </w:rPr>
        <w:t>ñ</w:t>
      </w:r>
      <w:r>
        <w:rPr>
          <w:rFonts w:ascii="Arimo" w:hAnsi="Arimo"/>
          <w:color w:val="000000"/>
          <w:sz w:val="28"/>
          <w:szCs w:val="28"/>
        </w:rPr>
        <w:t>jús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, a sub-commentary to the Suttanta 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aka,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it-IT"/>
        </w:rPr>
        <w:t>Paramatthapak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siní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a sub-commentary to the Abhidhamma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Pi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>aka, and the anu</w:t>
      </w:r>
      <w:r>
        <w:rPr>
          <w:rFonts w:ascii="Arimo" w:hAnsi="Arimo"/>
          <w:color w:val="000000"/>
          <w:sz w:val="28"/>
          <w:szCs w:val="28"/>
          <w:lang w:val="it-IT"/>
        </w:rPr>
        <w:t>ìí</w:t>
      </w:r>
      <w:r>
        <w:rPr>
          <w:rFonts w:ascii="Arimo" w:hAnsi="Arimo"/>
          <w:color w:val="000000"/>
          <w:sz w:val="28"/>
          <w:szCs w:val="28"/>
        </w:rPr>
        <w:t xml:space="preserve">kå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(anu meaning: along, alongside),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which explains words and expressions in the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Fonts w:ascii="Arimo" w:hAnsi="Arimo"/>
          <w:color w:val="000000"/>
          <w:sz w:val="28"/>
          <w:szCs w:val="28"/>
          <w:lang w:val="en-US"/>
        </w:rPr>
        <w:t>subcommentaries. Apart from the aforementioned works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there are several other texts in Buddhism needed for the study </w:t>
      </w:r>
      <w:r>
        <w:rPr>
          <w:rFonts w:ascii="Arimo" w:hAnsi="Arimo"/>
          <w:sz w:val="28"/>
          <w:szCs w:val="28"/>
          <w:lang w:val="en-US"/>
        </w:rPr>
        <w:t xml:space="preserve">of the Dhamma that were composed by the </w:t>
      </w:r>
      <w:r>
        <w:rPr>
          <w:rFonts w:ascii="Arimo" w:hAnsi="Arimo"/>
          <w:sz w:val="28"/>
          <w:szCs w:val="28"/>
        </w:rPr>
        <w:t>“Elders”</w:t>
      </w:r>
      <w:r>
        <w:rPr>
          <w:rFonts w:ascii="Arimo" w:hAnsi="Arimo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sz w:val="28"/>
          <w:szCs w:val="28"/>
          <w:lang w:val="nl-NL"/>
        </w:rPr>
        <w:footnoteReference w:id="27"/>
      </w:r>
      <w:r>
        <w:rPr>
          <w:rFonts w:ascii="Arimo" w:hAnsi="Arimo"/>
          <w:sz w:val="28"/>
          <w:szCs w:val="28"/>
          <w:lang w:val="nl-NL"/>
        </w:rPr>
        <w:t xml:space="preserve"> </w:t>
      </w:r>
      <w:r>
        <w:rPr>
          <w:rFonts w:ascii="Arimo" w:hAnsi="Arimo"/>
          <w:sz w:val="28"/>
          <w:szCs w:val="28"/>
          <w:lang w:val="en-US"/>
        </w:rPr>
        <w:t xml:space="preserve">who 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were qualified to pass on the tradition of the Dhamma. These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are the following texts: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Milindapa</w:t>
      </w:r>
      <w:r>
        <w:rPr>
          <w:rFonts w:ascii="Arimo" w:hAnsi="Arimo"/>
          <w:color w:val="000000"/>
          <w:sz w:val="28"/>
          <w:szCs w:val="28"/>
          <w:lang w:val="en-US"/>
        </w:rPr>
        <w:t>ñ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ha or </w:t>
      </w:r>
      <w:r>
        <w:rPr>
          <w:rFonts w:ascii="Arimo" w:hAnsi="Arimo"/>
          <w:color w:val="000000"/>
          <w:sz w:val="28"/>
          <w:szCs w:val="28"/>
        </w:rPr>
        <w:t>“Milinda’</w:t>
      </w:r>
      <w:r>
        <w:rPr>
          <w:rFonts w:ascii="Arimo" w:hAnsi="Arimo"/>
          <w:color w:val="000000"/>
          <w:sz w:val="28"/>
          <w:szCs w:val="28"/>
          <w:lang w:val="it-IT"/>
        </w:rPr>
        <w:t>s Questions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28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 composed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about 500 Buddhist Era (43 B.C.).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da-DK"/>
        </w:rPr>
        <w:t xml:space="preserve">Visuddhimagga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Path of Purification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29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 an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Encyclopedia on Buddhism, composed by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Buddhaghosa about 1000 B.E. (457 A.D.).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Abhidhammattha Sa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gaha or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 Manual of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de-DE"/>
        </w:rPr>
        <w:t>Abhidhamma</w:t>
      </w:r>
      <w:r>
        <w:rPr>
          <w:rFonts w:ascii="Arimo" w:hAnsi="Arimo"/>
          <w:color w:val="000000"/>
          <w:sz w:val="28"/>
          <w:szCs w:val="28"/>
        </w:rPr>
        <w:t>”</w:t>
      </w:r>
      <w:r>
        <w:rPr>
          <w:rStyle w:val="FootnoteAnchor"/>
          <w:rFonts w:ascii="Arimo" w:hAnsi="Arimo"/>
          <w:color w:val="000000"/>
          <w:sz w:val="28"/>
          <w:szCs w:val="28"/>
        </w:rPr>
        <w:footnoteReference w:id="30"/>
      </w:r>
      <w:r>
        <w:rPr>
          <w:rFonts w:ascii="Arimo" w:hAnsi="Arimo"/>
          <w:color w:val="000000"/>
          <w:sz w:val="28"/>
          <w:szCs w:val="28"/>
          <w:lang w:val="nl-NL"/>
        </w:rPr>
        <w:t>,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 composed by Ven. Anuruddha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about 1000 B.E. (457 A.D.)</w:t>
      </w:r>
      <w:r>
        <w:rPr>
          <w:rStyle w:val="FootnoteAnchor"/>
          <w:rFonts w:ascii="Arimo" w:hAnsi="Arimo"/>
          <w:color w:val="000000"/>
          <w:sz w:val="28"/>
          <w:szCs w:val="28"/>
          <w:lang w:val="en-US"/>
        </w:rPr>
        <w:footnoteReference w:id="31"/>
      </w:r>
      <w:r>
        <w:rPr>
          <w:rFonts w:ascii="Arimo" w:hAnsi="Arimo"/>
          <w:color w:val="000000"/>
          <w:sz w:val="28"/>
          <w:szCs w:val="28"/>
        </w:rPr>
        <w:t xml:space="preserve">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>rattha Sa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gaha, composed by Ven. Nanda about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1000 B.E. (457 A.D.).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it-IT"/>
        </w:rPr>
        <w:t>Paramattha Ma</w:t>
      </w:r>
      <w:r>
        <w:rPr>
          <w:rFonts w:ascii="Arimo" w:hAnsi="Arimo"/>
          <w:color w:val="000000"/>
          <w:sz w:val="28"/>
          <w:szCs w:val="28"/>
          <w:lang w:val="en-US"/>
        </w:rPr>
        <w:t>ñ</w:t>
      </w:r>
      <w:r>
        <w:rPr>
          <w:rFonts w:ascii="Arimo" w:hAnsi="Arimo"/>
          <w:color w:val="000000"/>
          <w:sz w:val="28"/>
          <w:szCs w:val="28"/>
        </w:rPr>
        <w:t>jús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a sub-commentary to the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Visuddhimagga, composed by the Ven. Dhammap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 xml:space="preserve">la.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•</w:t>
      </w:r>
      <w:r>
        <w:rPr>
          <w:rFonts w:ascii="Arimo" w:hAnsi="Arimo"/>
          <w:color w:val="000000"/>
          <w:sz w:val="28"/>
          <w:szCs w:val="28"/>
          <w:lang w:val="it-IT"/>
        </w:rPr>
        <w:t>Saccasaù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khepa (meaning Exposition of the Truth),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>composed by Ven. Dhammap</w:t>
      </w:r>
      <w:r>
        <w:rPr>
          <w:rFonts w:ascii="Arimo" w:hAnsi="Arimo"/>
          <w:color w:val="000000"/>
          <w:sz w:val="28"/>
          <w:szCs w:val="28"/>
          <w:lang w:val="nl-NL"/>
        </w:rPr>
        <w:t>å</w:t>
      </w:r>
      <w:r>
        <w:rPr>
          <w:rFonts w:ascii="Arimo" w:hAnsi="Arimo"/>
          <w:color w:val="000000"/>
          <w:sz w:val="28"/>
          <w:szCs w:val="28"/>
        </w:rPr>
        <w:t>la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 </w:t>
      </w:r>
      <w:r>
        <w:rPr>
          <w:rStyle w:val="FootnoteAnchor"/>
          <w:rFonts w:ascii="Arimo" w:hAnsi="Arimo"/>
          <w:color w:val="000000"/>
          <w:sz w:val="28"/>
          <w:szCs w:val="28"/>
          <w:lang w:val="nl-NL"/>
        </w:rPr>
        <w:footnoteReference w:id="32"/>
      </w:r>
      <w:r>
        <w:rPr>
          <w:rFonts w:ascii="Arimo" w:hAnsi="Arimo"/>
          <w:color w:val="000000"/>
          <w:sz w:val="28"/>
          <w:szCs w:val="28"/>
        </w:rPr>
        <w:t xml:space="preserve">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</w:rPr>
        <w:t>Abhidhammattha-vibh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</w:rPr>
        <w:t>viní-</w:t>
      </w:r>
      <w:r>
        <w:rPr>
          <w:rFonts w:ascii="Arimo" w:hAnsi="Arimo"/>
          <w:color w:val="000000"/>
          <w:sz w:val="28"/>
          <w:szCs w:val="28"/>
          <w:lang w:val="it-IT"/>
        </w:rPr>
        <w:t>ìí</w:t>
      </w:r>
      <w:r>
        <w:rPr>
          <w:rFonts w:ascii="Arimo" w:hAnsi="Arimo"/>
          <w:color w:val="000000"/>
          <w:sz w:val="28"/>
          <w:szCs w:val="28"/>
        </w:rPr>
        <w:t>k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a sub-commentary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>to the Abhidhammattha Sa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gaha composed by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it-IT"/>
        </w:rPr>
      </w:pPr>
      <w:r>
        <w:rPr>
          <w:rFonts w:ascii="Arimo" w:hAnsi="Arimo"/>
          <w:color w:val="000000"/>
          <w:sz w:val="28"/>
          <w:szCs w:val="28"/>
          <w:lang w:val="it-IT"/>
        </w:rPr>
        <w:t xml:space="preserve">Sumangala, of Sri Lanka.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it-IT"/>
        </w:rPr>
        <w:t>Moha Vicchedan</w:t>
      </w:r>
      <w:r>
        <w:rPr>
          <w:rFonts w:ascii="Arimo" w:hAnsi="Arimo"/>
          <w:color w:val="000000"/>
          <w:sz w:val="28"/>
          <w:szCs w:val="28"/>
        </w:rPr>
        <w:t>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an explanation of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>Dhammasanga</w:t>
      </w:r>
      <w:r>
        <w:rPr>
          <w:rFonts w:ascii="Arimo" w:hAnsi="Arimo"/>
          <w:color w:val="000000"/>
          <w:sz w:val="28"/>
          <w:szCs w:val="28"/>
          <w:lang w:val="it-IT"/>
        </w:rPr>
        <w:t>ù</w:t>
      </w:r>
      <w:r>
        <w:rPr>
          <w:rFonts w:ascii="Arimo" w:hAnsi="Arimo"/>
          <w:color w:val="000000"/>
          <w:sz w:val="28"/>
          <w:szCs w:val="28"/>
          <w:lang w:val="en-US"/>
        </w:rPr>
        <w:t>i and the Vibha</w:t>
      </w:r>
      <w:r>
        <w:rPr>
          <w:rFonts w:ascii="Arimo" w:hAnsi="Arimo"/>
          <w:color w:val="000000"/>
          <w:sz w:val="28"/>
          <w:szCs w:val="28"/>
          <w:lang w:val="it-IT"/>
        </w:rPr>
        <w:t>ò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ga (the first and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second Books of the Abhidhamma), composed by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Ven. Kassapa of Sri Lanka, about 1703 B.E. (1160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A.D.). 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</w:rPr>
        <w:t xml:space="preserve">• </w:t>
      </w:r>
      <w:r>
        <w:rPr>
          <w:rFonts w:ascii="Arimo" w:hAnsi="Arimo"/>
          <w:color w:val="000000"/>
          <w:sz w:val="28"/>
          <w:szCs w:val="28"/>
          <w:lang w:val="it-IT"/>
        </w:rPr>
        <w:t>Mangalattha D</w:t>
      </w:r>
      <w:r>
        <w:rPr>
          <w:rFonts w:ascii="Arimo" w:hAnsi="Arimo"/>
          <w:color w:val="000000"/>
          <w:sz w:val="28"/>
          <w:szCs w:val="28"/>
        </w:rPr>
        <w:t>ípaní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, an explanation of the Mangala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pt-PT"/>
        </w:rPr>
      </w:pPr>
      <w:r>
        <w:rPr>
          <w:rFonts w:ascii="Arimo" w:hAnsi="Arimo"/>
          <w:color w:val="000000"/>
          <w:sz w:val="28"/>
          <w:szCs w:val="28"/>
          <w:lang w:val="en-US"/>
        </w:rPr>
        <w:t>sutta (Good Omen Discourse, Khuddakap</w:t>
      </w:r>
      <w:r>
        <w:rPr>
          <w:rFonts w:ascii="Arimo" w:hAnsi="Arimo"/>
          <w:color w:val="000000"/>
          <w:sz w:val="28"/>
          <w:szCs w:val="28"/>
          <w:lang w:val="it-IT"/>
        </w:rPr>
        <w:t>åì</w:t>
      </w:r>
      <w:r>
        <w:rPr>
          <w:rFonts w:ascii="Arimo" w:hAnsi="Arimo"/>
          <w:color w:val="000000"/>
          <w:sz w:val="28"/>
          <w:szCs w:val="28"/>
          <w:lang w:val="pt-PT"/>
        </w:rPr>
        <w:t xml:space="preserve">ha, Minor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nl-NL"/>
        </w:rPr>
      </w:pPr>
      <w:r>
        <w:rPr>
          <w:rFonts w:ascii="Arimo" w:hAnsi="Arimo"/>
          <w:color w:val="000000"/>
          <w:sz w:val="28"/>
          <w:szCs w:val="28"/>
          <w:lang w:val="en-US"/>
        </w:rPr>
        <w:t>Readings, no 5) composed by Ven. Sirimangala i</w:t>
      </w:r>
      <w:r>
        <w:rPr>
          <w:rFonts w:ascii="Arimo" w:hAnsi="Arimo"/>
          <w:color w:val="000000"/>
          <w:sz w:val="28"/>
          <w:szCs w:val="28"/>
          <w:lang w:val="nl-NL"/>
        </w:rPr>
        <w:t xml:space="preserve">n Chiangmai.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                                         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</w:rPr>
        <w:t xml:space="preserve">  </w:t>
      </w:r>
    </w:p>
    <w:p>
      <w:pPr>
        <w:pStyle w:val="TextBody"/>
        <w:rPr>
          <w:rFonts w:ascii="Arimo" w:hAnsi="Arimo"/>
          <w:color w:val="000000"/>
          <w:sz w:val="28"/>
          <w:szCs w:val="28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 </w:t>
      </w:r>
      <w:r>
        <w:rPr>
          <w:rFonts w:ascii="Arimo" w:hAnsi="Arimo"/>
          <w:color w:val="000000"/>
          <w:sz w:val="28"/>
          <w:szCs w:val="28"/>
          <w:lang w:val="en-US"/>
        </w:rPr>
        <w:t>I could add to this enumeration the Nettippakara</w:t>
      </w:r>
      <w:r>
        <w:rPr>
          <w:rFonts w:ascii="Arimo" w:hAnsi="Arimo"/>
          <w:color w:val="000000"/>
          <w:sz w:val="28"/>
          <w:szCs w:val="28"/>
          <w:lang w:val="it-IT"/>
        </w:rPr>
        <w:t>ù</w:t>
      </w:r>
      <w:r>
        <w:rPr>
          <w:rFonts w:ascii="Arimo" w:hAnsi="Arimo"/>
          <w:color w:val="000000"/>
          <w:sz w:val="28"/>
          <w:szCs w:val="28"/>
        </w:rPr>
        <w:t xml:space="preserve">a, translated                       </w:t>
      </w:r>
    </w:p>
    <w:p>
      <w:pPr>
        <w:pStyle w:val="TextBody"/>
        <w:rPr>
          <w:rFonts w:ascii="Arimo" w:hAnsi="Arimo"/>
          <w:sz w:val="30"/>
          <w:szCs w:val="30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as </w:t>
      </w:r>
      <w:r>
        <w:rPr>
          <w:rFonts w:ascii="Arimo" w:hAnsi="Arimo"/>
          <w:color w:val="000000"/>
          <w:sz w:val="28"/>
          <w:szCs w:val="28"/>
        </w:rPr>
        <w:t>“</w:t>
      </w:r>
      <w:r>
        <w:rPr>
          <w:rFonts w:ascii="Arimo" w:hAnsi="Arimo"/>
          <w:color w:val="000000"/>
          <w:sz w:val="28"/>
          <w:szCs w:val="28"/>
          <w:lang w:val="en-US"/>
        </w:rPr>
        <w:t>The Guide,</w:t>
      </w:r>
      <w:r>
        <w:rPr>
          <w:rFonts w:ascii="Arimo" w:hAnsi="Arimo"/>
          <w:color w:val="000000"/>
          <w:sz w:val="28"/>
          <w:szCs w:val="28"/>
        </w:rPr>
        <w:t xml:space="preserve">” </w:t>
      </w:r>
      <w:r>
        <w:rPr>
          <w:rFonts w:ascii="Arimo" w:hAnsi="Arimo"/>
          <w:color w:val="000000"/>
          <w:sz w:val="28"/>
          <w:szCs w:val="28"/>
          <w:lang w:val="en-US"/>
        </w:rPr>
        <w:t>P.T.S. and the Pe</w:t>
      </w:r>
      <w:r>
        <w:rPr>
          <w:rFonts w:ascii="Arimo" w:hAnsi="Arimo"/>
          <w:color w:val="000000"/>
          <w:sz w:val="28"/>
          <w:szCs w:val="28"/>
          <w:lang w:val="it-IT"/>
        </w:rPr>
        <w:t>ì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akopadesa which has been                        </w:t>
      </w:r>
      <w:r>
        <w:rPr>
          <w:rFonts w:ascii="Arimo" w:hAnsi="Arimo"/>
          <w:sz w:val="30"/>
          <w:szCs w:val="30"/>
          <w:lang w:val="en-US"/>
        </w:rPr>
        <w:t xml:space="preserve">translated </w:t>
      </w:r>
      <w:r>
        <w:rPr>
          <w:rFonts w:ascii="Arimo" w:hAnsi="Arimo"/>
          <w:sz w:val="28"/>
          <w:szCs w:val="28"/>
          <w:u w:val="none" w:color="000000"/>
          <w:lang w:val="en-US"/>
        </w:rPr>
        <w:t xml:space="preserve">as </w:t>
      </w:r>
      <w:r>
        <w:rPr>
          <w:rFonts w:ascii="Arimo" w:hAnsi="Arimo"/>
          <w:sz w:val="28"/>
          <w:szCs w:val="28"/>
          <w:u w:val="none" w:color="000000"/>
        </w:rPr>
        <w:t>“Pi</w:t>
      </w:r>
      <w:r>
        <w:rPr>
          <w:rFonts w:ascii="Arimo" w:hAnsi="Arimo"/>
          <w:sz w:val="28"/>
          <w:szCs w:val="28"/>
          <w:u w:val="none" w:color="000000"/>
          <w:lang w:val="it-IT"/>
        </w:rPr>
        <w:t>ì</w:t>
      </w:r>
      <w:r>
        <w:rPr>
          <w:rFonts w:ascii="Arimo" w:hAnsi="Arimo"/>
          <w:sz w:val="28"/>
          <w:szCs w:val="28"/>
          <w:u w:val="none" w:color="000000"/>
          <w:lang w:val="en-US"/>
        </w:rPr>
        <w:t>aka Disclosure</w:t>
      </w:r>
      <w:r>
        <w:rPr>
          <w:rFonts w:ascii="Arimo" w:hAnsi="Arimo"/>
          <w:sz w:val="28"/>
          <w:szCs w:val="28"/>
          <w:u w:val="none" w:color="000000"/>
        </w:rPr>
        <w:t xml:space="preserve">” by Ven. </w:t>
      </w:r>
      <w:r>
        <w:rPr>
          <w:rFonts w:ascii="Arimo" w:hAnsi="Arimo"/>
          <w:sz w:val="28"/>
          <w:szCs w:val="28"/>
          <w:u w:val="none" w:color="000000"/>
          <w:lang w:val="en-US"/>
        </w:rPr>
        <w:t>Ñåù</w:t>
      </w:r>
      <w:r>
        <w:rPr>
          <w:rFonts w:ascii="Arimo" w:hAnsi="Arimo"/>
          <w:sz w:val="28"/>
          <w:szCs w:val="28"/>
          <w:u w:val="none" w:color="000000"/>
        </w:rPr>
        <w:t xml:space="preserve">amoli. </w:t>
      </w:r>
      <w:r>
        <w:rPr>
          <w:rFonts w:ascii="Arimo" w:hAnsi="Arimo"/>
          <w:sz w:val="30"/>
          <w:szCs w:val="30"/>
          <w:lang w:val="en-US"/>
        </w:rPr>
        <w:t xml:space="preserve">They are                   </w:t>
      </w:r>
    </w:p>
    <w:p>
      <w:pPr>
        <w:pStyle w:val="TextBody"/>
        <w:rPr>
          <w:rFonts w:ascii="Arimo" w:hAnsi="Arimo"/>
          <w:sz w:val="30"/>
          <w:szCs w:val="30"/>
          <w:lang w:val="en-US"/>
        </w:rPr>
      </w:pPr>
      <w:r>
        <w:rPr>
          <w:rFonts w:ascii="Arimo" w:hAnsi="Arimo"/>
          <w:sz w:val="30"/>
          <w:szCs w:val="30"/>
          <w:lang w:val="en-US"/>
        </w:rPr>
        <w:t>compilations of a school, which, according to tradition, traced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sz w:val="30"/>
          <w:szCs w:val="30"/>
        </w:rPr>
        <w:t>i</w:t>
      </w:r>
      <w:r>
        <w:rPr>
          <w:rFonts w:ascii="Arimo" w:hAnsi="Arimo"/>
          <w:color w:val="000000"/>
          <w:sz w:val="28"/>
          <w:szCs w:val="28"/>
          <w:lang w:val="en-US"/>
        </w:rPr>
        <w:t>ts descent to Mah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-Kaccana, one of the great disciples of the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it-IT"/>
        </w:rPr>
        <w:t>Buddha. Dhammap</w:t>
      </w:r>
      <w:r>
        <w:rPr>
          <w:rFonts w:ascii="Arimo" w:hAnsi="Arimo"/>
          <w:color w:val="000000"/>
          <w:sz w:val="28"/>
          <w:szCs w:val="28"/>
          <w:lang w:val="da-DK"/>
        </w:rPr>
        <w:t>å</w:t>
      </w:r>
      <w:r>
        <w:rPr>
          <w:rFonts w:ascii="Arimo" w:hAnsi="Arimo"/>
          <w:color w:val="000000"/>
          <w:sz w:val="28"/>
          <w:szCs w:val="28"/>
          <w:lang w:val="en-US"/>
        </w:rPr>
        <w:t xml:space="preserve">la has written a commentary on the Netti, </w:t>
      </w:r>
    </w:p>
    <w:p>
      <w:pPr>
        <w:pStyle w:val="TextBody"/>
        <w:rPr>
          <w:rFonts w:ascii="Arimo" w:hAnsi="Arimo"/>
          <w:color w:val="000000"/>
          <w:sz w:val="28"/>
          <w:szCs w:val="28"/>
          <w:lang w:val="en-US"/>
        </w:rPr>
      </w:pPr>
      <w:r>
        <w:rPr>
          <w:rFonts w:ascii="Arimo" w:hAnsi="Arimo"/>
          <w:color w:val="000000"/>
          <w:sz w:val="28"/>
          <w:szCs w:val="28"/>
          <w:lang w:val="en-US"/>
        </w:rPr>
        <w:t xml:space="preserve">probably late fifth century A.D.  </w:t>
      </w:r>
    </w:p>
    <w:p>
      <w:pPr>
        <w:pStyle w:val="TextBody"/>
        <w:rPr>
          <w:rFonts w:ascii="Arimo" w:hAnsi="Arimo"/>
        </w:rPr>
      </w:pPr>
      <w:r>
        <w:rPr>
          <w:rFonts w:ascii="Arimo" w:hAnsi="Arimo"/>
        </w:rPr>
      </w:r>
    </w:p>
    <w:p>
      <w:pPr>
        <w:pStyle w:val="TextBody"/>
        <w:spacing w:before="0" w:after="140"/>
        <w:rPr>
          <w:rFonts w:ascii="Arimo" w:hAnsi="Arimo"/>
          <w:color w:val="000000"/>
          <w:sz w:val="28"/>
          <w:szCs w:val="28"/>
          <w:lang w:val="nl-NL"/>
        </w:rPr>
      </w:pPr>
      <w:r>
        <w:rPr>
          <w:rFonts w:ascii="Arimo" w:hAnsi="Arimo"/>
          <w:color w:val="000000"/>
          <w:sz w:val="28"/>
          <w:szCs w:val="28"/>
          <w:lang w:val="nl-NL"/>
        </w:rPr>
        <w:t>********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417" w:right="850" w:header="709" w:top="766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Charter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Vrijevorm"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  <w:tab w:val="left" w:pos="7371" w:leader="none"/>
        <w:tab w:val="left" w:pos="7938" w:leader="none"/>
        <w:tab w:val="left" w:pos="8505" w:leader="none"/>
        <w:tab w:val="left" w:pos="9072" w:leader="none"/>
      </w:tabs>
      <w:rPr>
        <w:rFonts w:ascii="Helvetica" w:hAnsi="Helvetica"/>
        <w:sz w:val="18"/>
        <w:szCs w:val="18"/>
      </w:rPr>
    </w:pPr>
    <w:r>
      <w:rPr>
        <w:rFonts w:ascii="Helvetica" w:hAnsi="Helvetica"/>
        <w:sz w:val="18"/>
        <w:szCs w:val="18"/>
      </w:rPr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sz w:val="24"/>
          <w:szCs w:val="24"/>
          <w:lang w:val="it-IT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4"/>
          <w:szCs w:val="24"/>
          <w:lang w:val="en-US"/>
        </w:rPr>
        <w:t xml:space="preserve">See 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The Expositor,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n-US"/>
        </w:rPr>
        <w:t>Atthas</w:t>
      </w:r>
      <w:r>
        <w:rPr>
          <w:sz w:val="24"/>
          <w:szCs w:val="24"/>
          <w:lang w:val="da-DK"/>
        </w:rPr>
        <w:t>å</w:t>
      </w:r>
      <w:r>
        <w:rPr>
          <w:sz w:val="24"/>
          <w:szCs w:val="24"/>
        </w:rPr>
        <w:t>lin</w:t>
      </w:r>
      <w:r>
        <w:rPr>
          <w:sz w:val="24"/>
          <w:szCs w:val="24"/>
          <w:lang w:val="nl-NL"/>
        </w:rPr>
        <w:t>í</w:t>
      </w:r>
      <w:r>
        <w:rPr>
          <w:sz w:val="24"/>
          <w:szCs w:val="24"/>
          <w:lang w:val="en-US"/>
        </w:rPr>
        <w:t xml:space="preserve"> Introductory Discourse, 26. The teachings as compiled (not yet written) literature are thus enumerated in the scriptures as nine divisions, for example in the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Middle Length Sayings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it-IT"/>
        </w:rPr>
        <w:t xml:space="preserve">I, no. 22. </w:t>
      </w:r>
    </w:p>
  </w:footnote>
  <w:footnote w:id="3">
    <w:p>
      <w:pPr>
        <w:pStyle w:val="Footnote"/>
        <w:rPr>
          <w:sz w:val="24"/>
          <w:szCs w:val="24"/>
          <w:lang w:val="en-US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4"/>
          <w:szCs w:val="24"/>
          <w:lang w:val="en-US"/>
        </w:rPr>
        <w:t>The P</w:t>
      </w:r>
      <w:r>
        <w:rPr>
          <w:sz w:val="24"/>
          <w:szCs w:val="24"/>
          <w:lang w:val="da-DK"/>
        </w:rPr>
        <w:t>å</w:t>
      </w:r>
      <w:r>
        <w:rPr>
          <w:sz w:val="24"/>
          <w:szCs w:val="24"/>
          <w:lang w:val="en-US"/>
        </w:rPr>
        <w:t xml:space="preserve">li term sutta means that which is heard. The word of the Buddha which has been heard. </w:t>
      </w:r>
    </w:p>
  </w:footnote>
  <w:footnote w:id="4">
    <w:p>
      <w:pPr>
        <w:pStyle w:val="Footnote"/>
        <w:rPr>
          <w:sz w:val="24"/>
          <w:szCs w:val="24"/>
          <w:lang w:val="en-US"/>
        </w:rPr>
      </w:pPr>
      <w:r>
        <w:rPr>
          <w:vertAlign w:val="superscript"/>
        </w:rPr>
        <w:footnoteRef/>
        <w:tab/>
      </w:r>
      <w:r>
        <w:rPr>
          <w:sz w:val="24"/>
          <w:szCs w:val="24"/>
          <w:lang w:val="en-US"/>
        </w:rPr>
        <w:t>The three Pi</w:t>
      </w:r>
      <w:r>
        <w:rPr>
          <w:sz w:val="24"/>
          <w:szCs w:val="24"/>
          <w:lang w:val="it-IT"/>
        </w:rPr>
        <w:t>ì</w:t>
      </w:r>
      <w:r>
        <w:rPr>
          <w:sz w:val="24"/>
          <w:szCs w:val="24"/>
          <w:lang w:val="en-US"/>
        </w:rPr>
        <w:t>aka, or Tipi</w:t>
      </w:r>
      <w:r>
        <w:rPr>
          <w:sz w:val="24"/>
          <w:szCs w:val="24"/>
          <w:lang w:val="it-IT"/>
        </w:rPr>
        <w:t>ì</w:t>
      </w:r>
      <w:r>
        <w:rPr>
          <w:sz w:val="24"/>
          <w:szCs w:val="24"/>
          <w:lang w:val="en-US"/>
        </w:rPr>
        <w:t>aka, are the three divisions of the teachings, namely: the Vinaya, Suttanta and Abhidhamma. When the teachings are classified as nine divisions, the Vinaya is in a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en-US"/>
        </w:rPr>
        <w:t>section of the Sutta. The Atthas</w:t>
      </w:r>
      <w:r>
        <w:rPr>
          <w:sz w:val="24"/>
          <w:szCs w:val="24"/>
          <w:lang w:val="da-DK"/>
        </w:rPr>
        <w:t>å</w:t>
      </w:r>
      <w:r>
        <w:rPr>
          <w:sz w:val="24"/>
          <w:szCs w:val="24"/>
        </w:rPr>
        <w:t>lin</w:t>
      </w:r>
      <w:r>
        <w:rPr>
          <w:sz w:val="24"/>
          <w:szCs w:val="24"/>
          <w:lang w:val="nl-NL"/>
        </w:rPr>
        <w:t>í</w:t>
      </w:r>
      <w:r>
        <w:rPr>
          <w:sz w:val="24"/>
          <w:szCs w:val="24"/>
          <w:lang w:val="en-US"/>
        </w:rPr>
        <w:t xml:space="preserve"> mentions the Sutta-Vibha</w:t>
      </w:r>
      <w:r>
        <w:rPr>
          <w:sz w:val="24"/>
          <w:szCs w:val="24"/>
          <w:lang w:val="it-IT"/>
        </w:rPr>
        <w:t>ò</w:t>
      </w:r>
      <w:r>
        <w:rPr>
          <w:sz w:val="24"/>
          <w:szCs w:val="24"/>
        </w:rPr>
        <w:t>ga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en-US"/>
        </w:rPr>
        <w:t>and Pariv</w:t>
      </w:r>
      <w:r>
        <w:rPr>
          <w:sz w:val="24"/>
          <w:szCs w:val="24"/>
          <w:lang w:val="da-DK"/>
        </w:rPr>
        <w:t>å</w:t>
      </w:r>
      <w:r>
        <w:rPr>
          <w:sz w:val="24"/>
          <w:szCs w:val="24"/>
          <w:lang w:val="en-US"/>
        </w:rPr>
        <w:t xml:space="preserve">ra in the section on Sutta, which belong to the Vinaya.  </w:t>
      </w:r>
    </w:p>
  </w:footnote>
  <w:footnote w:id="5">
    <w:p>
      <w:pPr>
        <w:pStyle w:val="Footnote"/>
        <w:rPr>
          <w:sz w:val="24"/>
          <w:szCs w:val="24"/>
          <w:lang w:val="en-US"/>
        </w:rPr>
      </w:pPr>
      <w:r>
        <w:rPr>
          <w:vertAlign w:val="superscript"/>
        </w:rPr>
        <w:footnoteRef/>
        <w:tab/>
      </w:r>
      <w:r>
        <w:rPr>
          <w:sz w:val="24"/>
          <w:szCs w:val="24"/>
          <w:lang w:val="en-US"/>
        </w:rPr>
        <w:t xml:space="preserve">In the 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Atthas</w:t>
      </w:r>
      <w:r>
        <w:rPr>
          <w:sz w:val="24"/>
          <w:szCs w:val="24"/>
          <w:lang w:val="da-DK"/>
        </w:rPr>
        <w:t>å</w:t>
      </w:r>
      <w:r>
        <w:rPr>
          <w:sz w:val="24"/>
          <w:szCs w:val="24"/>
        </w:rPr>
        <w:t xml:space="preserve">liní” </w:t>
      </w:r>
      <w:r>
        <w:rPr>
          <w:sz w:val="24"/>
          <w:szCs w:val="24"/>
          <w:lang w:val="en-US"/>
        </w:rPr>
        <w:t xml:space="preserve">the counting is one hundred and twelve. </w:t>
      </w:r>
    </w:p>
  </w:footnote>
  <w:footnote w:id="6">
    <w:p>
      <w:pPr>
        <w:pStyle w:val="Footnote"/>
        <w:rPr>
          <w:sz w:val="24"/>
          <w:szCs w:val="24"/>
        </w:rPr>
      </w:pPr>
      <w:r>
        <w:rPr>
          <w:vertAlign w:val="superscript"/>
        </w:rPr>
        <w:footnoteRef/>
        <w:tab/>
      </w:r>
      <w:r>
        <w:rPr>
          <w:sz w:val="24"/>
          <w:szCs w:val="24"/>
          <w:lang w:val="en-US"/>
        </w:rPr>
        <w:t xml:space="preserve">The P.T.S. has edited and translated these two books as three parts, the </w:t>
      </w:r>
      <w:r>
        <w:rPr>
          <w:sz w:val="24"/>
          <w:szCs w:val="24"/>
        </w:rPr>
        <w:t>“</w:t>
      </w:r>
      <w:r>
        <w:rPr>
          <w:sz w:val="24"/>
          <w:szCs w:val="24"/>
          <w:lang w:val="it-IT"/>
        </w:rPr>
        <w:t>Suttavibhaòga.</w:t>
      </w:r>
      <w:r>
        <w:rPr>
          <w:sz w:val="24"/>
          <w:szCs w:val="24"/>
        </w:rPr>
        <w:t xml:space="preserve">” </w:t>
      </w:r>
    </w:p>
  </w:footnote>
  <w:footnote w:id="7">
    <w:p>
      <w:pPr>
        <w:pStyle w:val="Footnote"/>
        <w:rPr>
          <w:sz w:val="22"/>
          <w:szCs w:val="22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>The Introduction to the Vinaya, the B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</w:rPr>
        <w:t>hiranid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na, has been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translated as </w:t>
      </w:r>
      <w:r>
        <w:rPr>
          <w:sz w:val="22"/>
          <w:szCs w:val="22"/>
        </w:rPr>
        <w:t>‘</w:t>
      </w:r>
      <w:r>
        <w:rPr>
          <w:sz w:val="22"/>
          <w:szCs w:val="22"/>
          <w:lang w:val="en-US"/>
        </w:rPr>
        <w:t>The Inception of Discipline and the Vinaya Nid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</w:rPr>
        <w:t>na’, P.T.S.</w:t>
      </w:r>
    </w:p>
  </w:footnote>
  <w:footnote w:id="8">
    <w:p>
      <w:pPr>
        <w:pStyle w:val="Footnote"/>
        <w:rPr>
          <w:sz w:val="26"/>
          <w:szCs w:val="26"/>
        </w:rPr>
      </w:pPr>
      <w:r>
        <w:rPr>
          <w:vertAlign w:val="superscript"/>
        </w:rPr>
        <w:footnoteRef/>
        <w:tab/>
      </w:r>
      <w:r>
        <w:rPr>
          <w:sz w:val="24"/>
          <w:szCs w:val="24"/>
          <w:lang w:val="da-DK"/>
        </w:rPr>
        <w:t>Nikå</w:t>
      </w:r>
      <w:r>
        <w:rPr>
          <w:sz w:val="24"/>
          <w:szCs w:val="24"/>
          <w:lang w:val="en-US"/>
        </w:rPr>
        <w:t xml:space="preserve">ya means </w:t>
      </w: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body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fr-FR"/>
        </w:rPr>
        <w:t>or collection.</w:t>
      </w:r>
      <w:r>
        <w:rPr>
          <w:sz w:val="26"/>
          <w:szCs w:val="26"/>
        </w:rPr>
        <w:t xml:space="preserve"> </w:t>
      </w:r>
    </w:p>
  </w:footnote>
  <w:footnote w:id="9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en-US"/>
        </w:rPr>
        <w:t>I am giving the English titles, as used in the translations of the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</w:rPr>
        <w:t>P.T.S. “</w:t>
      </w:r>
      <w:r>
        <w:rPr>
          <w:sz w:val="22"/>
          <w:szCs w:val="22"/>
          <w:lang w:val="en-US"/>
        </w:rPr>
        <w:t>The Dialogues of the Buddha</w:t>
      </w:r>
      <w:r>
        <w:rPr>
          <w:sz w:val="22"/>
          <w:szCs w:val="22"/>
        </w:rPr>
        <w:t xml:space="preserve">” </w:t>
      </w:r>
      <w:r>
        <w:rPr>
          <w:sz w:val="22"/>
          <w:szCs w:val="22"/>
          <w:lang w:val="en-US"/>
        </w:rPr>
        <w:t xml:space="preserve">have been edited in three volumes. </w:t>
      </w:r>
    </w:p>
  </w:footnote>
  <w:footnote w:id="10">
    <w:p>
      <w:pPr>
        <w:pStyle w:val="Footnote"/>
        <w:rPr/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>Edited in three volumes.</w:t>
      </w:r>
      <w:r>
        <w:rPr/>
        <w:t xml:space="preserve"> </w:t>
      </w:r>
    </w:p>
  </w:footnote>
  <w:footnote w:id="11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Edited in five volumes. </w:t>
      </w:r>
    </w:p>
  </w:footnote>
  <w:footnote w:id="12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en-US"/>
        </w:rPr>
        <w:t>Edited in five volumes.</w:t>
      </w:r>
    </w:p>
  </w:footnote>
  <w:footnote w:id="13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>This collection consisting of sixteen parts has been edited in different volumes, but not all of them have been translated into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English. </w:t>
      </w:r>
    </w:p>
  </w:footnote>
  <w:footnote w:id="14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>These sections are in the P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 xml:space="preserve">li text but not in the English edition. </w:t>
      </w:r>
    </w:p>
  </w:footnote>
  <w:footnote w:id="15">
    <w:p>
      <w:pPr>
        <w:pStyle w:val="Footnote"/>
        <w:rPr>
          <w:sz w:val="22"/>
          <w:szCs w:val="22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>Translated into English and edited by the P.T.S. in one volume together with the translation of its commentary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The Illustrator of Ultimate Meaning.</w:t>
      </w:r>
      <w:r>
        <w:rPr>
          <w:sz w:val="22"/>
          <w:szCs w:val="22"/>
        </w:rPr>
        <w:t xml:space="preserve">” </w:t>
      </w:r>
    </w:p>
  </w:footnote>
  <w:footnote w:id="16">
    <w:p>
      <w:pPr>
        <w:pStyle w:val="Footnote"/>
        <w:rPr>
          <w:sz w:val="22"/>
          <w:szCs w:val="22"/>
          <w:lang w:val="nl-NL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nl-NL"/>
        </w:rPr>
        <w:t>There are several English translations of this text.</w:t>
      </w:r>
    </w:p>
  </w:footnote>
  <w:footnote w:id="17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>The Mah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-Niddesa and the C</w:t>
      </w:r>
      <w:r>
        <w:rPr>
          <w:sz w:val="22"/>
          <w:szCs w:val="22"/>
        </w:rPr>
        <w:t>úî</w:t>
      </w:r>
      <w:r>
        <w:rPr>
          <w:sz w:val="22"/>
          <w:szCs w:val="22"/>
          <w:lang w:val="en-US"/>
        </w:rPr>
        <w:t xml:space="preserve">a-Niddesa have not been translated into English. </w:t>
      </w:r>
    </w:p>
  </w:footnote>
  <w:footnote w:id="18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en-US"/>
        </w:rPr>
        <w:t>This has not been translated into English.</w:t>
      </w:r>
    </w:p>
  </w:footnote>
  <w:footnote w:id="19">
    <w:p>
      <w:pPr>
        <w:pStyle w:val="Footnote"/>
        <w:rPr>
          <w:sz w:val="22"/>
          <w:szCs w:val="22"/>
          <w:lang w:val="nl-NL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>The commentary to the Khuddakap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tha has been translated into English as I mentioned</w:t>
      </w:r>
      <w:r>
        <w:rPr>
          <w:sz w:val="22"/>
          <w:szCs w:val="22"/>
          <w:lang w:val="nl-NL"/>
        </w:rPr>
        <w:t>. T</w:t>
      </w:r>
      <w:r>
        <w:rPr>
          <w:sz w:val="22"/>
          <w:szCs w:val="22"/>
          <w:lang w:val="en-US"/>
        </w:rPr>
        <w:t>he commentary to the Sutta Nip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ta has been translated</w:t>
      </w:r>
      <w:r>
        <w:rPr>
          <w:sz w:val="22"/>
          <w:szCs w:val="22"/>
          <w:lang w:val="nl-NL"/>
        </w:rPr>
        <w:t xml:space="preserve"> by Ven. Bodhi.</w:t>
      </w:r>
    </w:p>
  </w:footnote>
  <w:footnote w:id="20">
    <w:p>
      <w:pPr>
        <w:pStyle w:val="Footnote"/>
        <w:rPr>
          <w:sz w:val="22"/>
          <w:szCs w:val="22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en-US"/>
        </w:rPr>
        <w:t>Translated into English are: the Ud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na commentary (two volumes), the Itivuttaka commentary (two volumes), the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>commentary to the Vim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</w:rPr>
        <w:t>navatthu, “Vim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na Stories,</w:t>
      </w:r>
      <w:r>
        <w:rPr>
          <w:sz w:val="22"/>
          <w:szCs w:val="22"/>
        </w:rPr>
        <w:t>”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the commentary to the 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</w:rPr>
        <w:t>Petavatthu, “</w:t>
      </w:r>
      <w:r>
        <w:rPr>
          <w:sz w:val="22"/>
          <w:szCs w:val="22"/>
          <w:lang w:val="en-US"/>
        </w:rPr>
        <w:t>Peta Stories,</w:t>
      </w:r>
      <w:r>
        <w:rPr>
          <w:sz w:val="22"/>
          <w:szCs w:val="22"/>
        </w:rPr>
        <w:t xml:space="preserve">” </w:t>
      </w:r>
      <w:r>
        <w:rPr>
          <w:sz w:val="22"/>
          <w:szCs w:val="22"/>
          <w:lang w:val="en-US"/>
        </w:rPr>
        <w:t>the</w:t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>commentary to the Ther</w:t>
      </w:r>
      <w:r>
        <w:rPr>
          <w:sz w:val="22"/>
          <w:szCs w:val="22"/>
        </w:rPr>
        <w:t>íg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th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</w:rPr>
        <w:t>, “</w:t>
      </w:r>
      <w:r>
        <w:rPr>
          <w:sz w:val="22"/>
          <w:szCs w:val="22"/>
          <w:lang w:val="en-US"/>
        </w:rPr>
        <w:t>Commentary on the Verses of the Ther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s.</w:t>
      </w:r>
      <w:r>
        <w:rPr>
          <w:sz w:val="22"/>
          <w:szCs w:val="22"/>
        </w:rPr>
        <w:t>”</w:t>
      </w:r>
    </w:p>
  </w:footnote>
  <w:footnote w:id="21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>In the English edition of the Buddha</w:t>
      </w:r>
      <w:r>
        <w:rPr>
          <w:sz w:val="22"/>
          <w:szCs w:val="22"/>
        </w:rPr>
        <w:t>’</w:t>
      </w:r>
      <w:r>
        <w:rPr>
          <w:sz w:val="22"/>
          <w:szCs w:val="22"/>
          <w:lang w:val="en-US"/>
        </w:rPr>
        <w:t xml:space="preserve">s Birth Stories, parts of the commentary have been added. </w:t>
      </w:r>
    </w:p>
  </w:footnote>
  <w:footnote w:id="22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In two volumes. </w:t>
      </w:r>
    </w:p>
  </w:footnote>
  <w:footnote w:id="23">
    <w:p>
      <w:pPr>
        <w:pStyle w:val="Footnote"/>
        <w:rPr>
          <w:sz w:val="22"/>
          <w:szCs w:val="22"/>
          <w:lang w:val="nl-NL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Yamaka means </w:t>
      </w:r>
      <w:r>
        <w:rPr>
          <w:sz w:val="22"/>
          <w:szCs w:val="22"/>
        </w:rPr>
        <w:t xml:space="preserve">“Pair.” </w:t>
      </w:r>
      <w:r>
        <w:rPr>
          <w:sz w:val="22"/>
          <w:szCs w:val="22"/>
          <w:lang w:val="en-US"/>
        </w:rPr>
        <w:t>This has been translated into English</w:t>
      </w:r>
      <w:r>
        <w:rPr>
          <w:sz w:val="22"/>
          <w:szCs w:val="22"/>
          <w:lang w:val="nl-NL"/>
        </w:rPr>
        <w:t xml:space="preserve"> in Myanmar by U narada, Múla Paììhana and pupils. </w:t>
      </w:r>
      <w:r>
        <w:rPr>
          <w:sz w:val="22"/>
          <w:szCs w:val="22"/>
          <w:lang w:val="en-US"/>
        </w:rPr>
        <w:t xml:space="preserve">Also PTS </w:t>
      </w:r>
      <w:r>
        <w:rPr>
          <w:sz w:val="22"/>
          <w:szCs w:val="22"/>
          <w:lang w:val="nl-NL"/>
        </w:rPr>
        <w:t xml:space="preserve">is </w:t>
      </w:r>
      <w:r>
        <w:rPr>
          <w:sz w:val="22"/>
          <w:szCs w:val="22"/>
          <w:lang w:val="en-US"/>
        </w:rPr>
        <w:t xml:space="preserve">producing a translation of the Yamaka in </w:t>
      </w:r>
      <w:r>
        <w:rPr>
          <w:sz w:val="22"/>
          <w:szCs w:val="22"/>
          <w:lang w:val="nl-NL"/>
        </w:rPr>
        <w:t xml:space="preserve">three </w:t>
      </w:r>
      <w:r>
        <w:rPr>
          <w:sz w:val="22"/>
          <w:szCs w:val="22"/>
          <w:lang w:val="en-US"/>
        </w:rPr>
        <w:t>parts</w:t>
      </w:r>
      <w:r>
        <w:rPr>
          <w:sz w:val="22"/>
          <w:szCs w:val="22"/>
          <w:lang w:val="nl-NL"/>
        </w:rPr>
        <w:t>:</w:t>
      </w:r>
      <w:r>
        <w:rPr>
          <w:sz w:val="22"/>
          <w:szCs w:val="22"/>
          <w:lang w:val="en-US"/>
        </w:rPr>
        <w:t xml:space="preserve"> The Book of Pairs and its Commentary: A translation of the Yamaka and Yamakappakara</w:t>
      </w:r>
      <w:r>
        <w:rPr>
          <w:sz w:val="22"/>
          <w:szCs w:val="22"/>
          <w:lang w:val="nl-NL"/>
        </w:rPr>
        <w:t>ù</w:t>
      </w:r>
      <w:r>
        <w:rPr>
          <w:sz w:val="22"/>
          <w:szCs w:val="22"/>
        </w:rPr>
        <w:t>a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2"/>
          <w:szCs w:val="22"/>
        </w:rPr>
        <w:t>ṭṭ</w:t>
      </w:r>
      <w:r>
        <w:rPr>
          <w:sz w:val="22"/>
          <w:szCs w:val="22"/>
        </w:rPr>
        <w:t>hakath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2"/>
          <w:szCs w:val="22"/>
        </w:rPr>
        <w:t>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by C.M.M. Shaw &amp; L.S. Cousins, 2018</w:t>
      </w:r>
      <w:r>
        <w:rPr>
          <w:sz w:val="22"/>
          <w:szCs w:val="22"/>
          <w:lang w:val="nl-NL"/>
        </w:rPr>
        <w:t>. Only the first part has been finished.</w:t>
      </w:r>
    </w:p>
  </w:footnote>
  <w:footnote w:id="24">
    <w:p>
      <w:pPr>
        <w:pStyle w:val="Footnote"/>
        <w:rPr>
          <w:color w:val="000000"/>
          <w:sz w:val="28"/>
          <w:szCs w:val="28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>There is a translation of part of the Pa</w:t>
      </w:r>
      <w:r>
        <w:rPr>
          <w:sz w:val="22"/>
          <w:szCs w:val="22"/>
          <w:lang w:val="it-IT"/>
        </w:rPr>
        <w:t>ìì</w:t>
      </w:r>
      <w:r>
        <w:rPr>
          <w:sz w:val="22"/>
          <w:szCs w:val="22"/>
        </w:rPr>
        <w:t>h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>na. There is also a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Guide to Conditional Relations</w:t>
      </w:r>
      <w:r>
        <w:rPr>
          <w:sz w:val="22"/>
          <w:szCs w:val="22"/>
        </w:rPr>
        <w:t>”</w:t>
      </w:r>
      <w:r>
        <w:rPr>
          <w:sz w:val="22"/>
          <w:szCs w:val="22"/>
          <w:lang w:val="en-US"/>
        </w:rPr>
        <w:t>, explaining part of the Pa</w:t>
      </w:r>
      <w:r>
        <w:rPr>
          <w:sz w:val="22"/>
          <w:szCs w:val="22"/>
          <w:lang w:val="it-IT"/>
        </w:rPr>
        <w:t>ìì</w:t>
      </w:r>
      <w:r>
        <w:rPr>
          <w:sz w:val="22"/>
          <w:szCs w:val="22"/>
        </w:rPr>
        <w:t>h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</w:rPr>
        <w:t>na, by U Narada, Myanmar.</w:t>
      </w:r>
      <w:r>
        <w:rPr>
          <w:color w:val="000000"/>
          <w:sz w:val="28"/>
          <w:szCs w:val="28"/>
        </w:rPr>
        <w:t xml:space="preserve"> </w:t>
      </w:r>
    </w:p>
  </w:footnote>
  <w:footnote w:id="25">
    <w:p>
      <w:pPr>
        <w:pStyle w:val="Footnote"/>
        <w:rPr>
          <w:sz w:val="22"/>
          <w:szCs w:val="22"/>
        </w:rPr>
      </w:pPr>
      <w:r>
        <w:rPr>
          <w:vertAlign w:val="superscript"/>
        </w:rPr>
        <w:footnoteRef/>
        <w:tab/>
      </w:r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en-US"/>
        </w:rPr>
        <w:t>Only the commentary to the Kath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  <w:lang w:val="en-US"/>
        </w:rPr>
        <w:t xml:space="preserve">vatthu has been translated into English, with the title of </w:t>
      </w:r>
      <w:r>
        <w:rPr>
          <w:sz w:val="22"/>
          <w:szCs w:val="22"/>
          <w:lang w:val="nl-NL"/>
        </w:rPr>
        <w:t xml:space="preserve">     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Debates Commentary</w:t>
      </w:r>
      <w:r>
        <w:rPr>
          <w:sz w:val="22"/>
          <w:szCs w:val="22"/>
        </w:rPr>
        <w:t>”</w:t>
      </w:r>
    </w:p>
  </w:footnote>
  <w:footnote w:id="26">
    <w:p>
      <w:pPr>
        <w:pStyle w:val="Footnote"/>
        <w:rPr>
          <w:sz w:val="22"/>
          <w:szCs w:val="22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>He lived in the fifth century of the Christian era and stayed in the</w:t>
      </w:r>
      <w:r>
        <w:rPr>
          <w:sz w:val="22"/>
          <w:szCs w:val="22"/>
        </w:rPr>
        <w:t>“</w:t>
      </w:r>
      <w:r>
        <w:rPr>
          <w:sz w:val="22"/>
          <w:szCs w:val="22"/>
          <w:lang w:val="en-US"/>
        </w:rPr>
        <w:t>Great Monastery</w:t>
      </w:r>
      <w:r>
        <w:rPr>
          <w:sz w:val="22"/>
          <w:szCs w:val="22"/>
        </w:rPr>
        <w:t xml:space="preserve">” </w:t>
      </w:r>
      <w:r>
        <w:rPr>
          <w:sz w:val="22"/>
          <w:szCs w:val="22"/>
          <w:lang w:val="en-US"/>
        </w:rPr>
        <w:t xml:space="preserve">of </w:t>
      </w:r>
      <w:r>
        <w:rPr>
          <w:sz w:val="22"/>
          <w:szCs w:val="22"/>
          <w:lang w:val="nl-NL"/>
        </w:rPr>
        <w:t xml:space="preserve">          </w:t>
      </w:r>
      <w:r>
        <w:rPr>
          <w:sz w:val="22"/>
          <w:szCs w:val="22"/>
        </w:rPr>
        <w:t>Anur</w:t>
      </w:r>
      <w:r>
        <w:rPr>
          <w:sz w:val="22"/>
          <w:szCs w:val="22"/>
          <w:lang w:val="da-DK"/>
        </w:rPr>
        <w:t>å</w:t>
      </w:r>
      <w:r>
        <w:rPr>
          <w:sz w:val="22"/>
          <w:szCs w:val="22"/>
        </w:rPr>
        <w:t xml:space="preserve">dhapura, in Sri Lanka. </w:t>
      </w:r>
    </w:p>
  </w:footnote>
  <w:footnote w:id="27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>
          <w:lang w:val="nl-NL"/>
        </w:rPr>
        <w:t xml:space="preserve"> </w:t>
      </w:r>
      <w:r>
        <w:rPr>
          <w:sz w:val="22"/>
          <w:szCs w:val="22"/>
          <w:lang w:val="en-US"/>
        </w:rPr>
        <w:t xml:space="preserve">Thera can be translated as Elder or senior monk, a monk who has been ordained for at least ten years. </w:t>
      </w:r>
    </w:p>
  </w:footnote>
  <w:footnote w:id="28">
    <w:p>
      <w:pPr>
        <w:pStyle w:val="Footnote"/>
        <w:rPr>
          <w:sz w:val="22"/>
          <w:szCs w:val="22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 xml:space="preserve">In two volumes. One translation by the P.T.S. and another one by </w:t>
      </w:r>
      <w:r>
        <w:rPr>
          <w:sz w:val="22"/>
          <w:szCs w:val="22"/>
        </w:rPr>
        <w:t xml:space="preserve">T.W. Rhys Davids. </w:t>
      </w:r>
    </w:p>
  </w:footnote>
  <w:footnote w:id="29">
    <w:p>
      <w:pPr>
        <w:pStyle w:val="Footnote"/>
        <w:rPr>
          <w:sz w:val="22"/>
          <w:szCs w:val="22"/>
          <w:lang w:val="en-US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>One edition as translated by Ven. Ny</w:t>
      </w:r>
      <w:r>
        <w:rPr>
          <w:sz w:val="22"/>
          <w:szCs w:val="22"/>
          <w:lang w:val="it-IT"/>
        </w:rPr>
        <w:t>åù</w:t>
      </w:r>
      <w:r>
        <w:rPr>
          <w:sz w:val="22"/>
          <w:szCs w:val="22"/>
          <w:lang w:val="en-US"/>
        </w:rPr>
        <w:t xml:space="preserve">amoli, Colombo, and one edition as translated by Pe Maung Tin, P.T.S. </w:t>
      </w:r>
    </w:p>
  </w:footnote>
  <w:footnote w:id="30">
    <w:p>
      <w:pPr>
        <w:pStyle w:val="Footnote"/>
        <w:rPr>
          <w:sz w:val="22"/>
          <w:szCs w:val="22"/>
          <w:u w:val="none" w:color="000000"/>
          <w:lang w:val="en-US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u w:val="none" w:color="000000"/>
          <w:lang w:val="en-US"/>
        </w:rPr>
        <w:t xml:space="preserve">It has been translated into English and published by the P.T.S. </w:t>
      </w:r>
      <w:r>
        <w:rPr>
          <w:sz w:val="22"/>
          <w:szCs w:val="22"/>
          <w:u w:val="none" w:color="000000"/>
          <w:lang w:val="nl-NL"/>
        </w:rPr>
        <w:t>with</w:t>
      </w:r>
      <w:r>
        <w:rPr>
          <w:sz w:val="22"/>
          <w:szCs w:val="22"/>
          <w:u w:val="none" w:color="000000"/>
          <w:lang w:val="en-US"/>
        </w:rPr>
        <w:t xml:space="preserve"> the title of </w:t>
      </w:r>
      <w:r>
        <w:rPr>
          <w:sz w:val="22"/>
          <w:szCs w:val="22"/>
          <w:u w:val="none" w:color="000000"/>
        </w:rPr>
        <w:t>“</w:t>
      </w:r>
      <w:r>
        <w:rPr>
          <w:sz w:val="22"/>
          <w:szCs w:val="22"/>
          <w:u w:val="none" w:color="000000"/>
          <w:lang w:val="en-US"/>
        </w:rPr>
        <w:t>Compendium of Philosophy</w:t>
      </w:r>
      <w:r>
        <w:rPr>
          <w:sz w:val="22"/>
          <w:szCs w:val="22"/>
          <w:u w:val="none" w:color="000000"/>
        </w:rPr>
        <w:t>”</w:t>
      </w:r>
      <w:r>
        <w:rPr>
          <w:sz w:val="22"/>
          <w:szCs w:val="22"/>
          <w:u w:val="none" w:color="000000"/>
          <w:lang w:val="en-US"/>
        </w:rPr>
        <w:t>, and by Ven. N</w:t>
      </w:r>
      <w:r>
        <w:rPr>
          <w:sz w:val="22"/>
          <w:szCs w:val="22"/>
          <w:u w:val="none" w:color="000000"/>
          <w:lang w:val="da-DK"/>
        </w:rPr>
        <w:t>å</w:t>
      </w:r>
      <w:r>
        <w:rPr>
          <w:sz w:val="22"/>
          <w:szCs w:val="22"/>
          <w:u w:val="none" w:color="000000"/>
          <w:lang w:val="en-US"/>
        </w:rPr>
        <w:t xml:space="preserve">rada, Colombo, under the title of </w:t>
      </w:r>
      <w:r>
        <w:rPr>
          <w:sz w:val="22"/>
          <w:szCs w:val="22"/>
          <w:u w:val="none" w:color="000000"/>
        </w:rPr>
        <w:t>“</w:t>
      </w:r>
      <w:r>
        <w:rPr>
          <w:sz w:val="22"/>
          <w:szCs w:val="22"/>
          <w:u w:val="none" w:color="000000"/>
          <w:lang w:val="en-US"/>
        </w:rPr>
        <w:t>A Manual of Abhidhamma</w:t>
      </w:r>
      <w:r>
        <w:rPr>
          <w:sz w:val="22"/>
          <w:szCs w:val="22"/>
          <w:u w:val="none" w:color="000000"/>
        </w:rPr>
        <w:t>”</w:t>
      </w:r>
      <w:r>
        <w:rPr>
          <w:sz w:val="22"/>
          <w:szCs w:val="22"/>
          <w:u w:val="none" w:color="000000"/>
          <w:lang w:val="en-US"/>
        </w:rPr>
        <w:t xml:space="preserve">.                                It has also been translated by the Venerable Bhikkhu Bodhi as </w:t>
      </w:r>
      <w:r>
        <w:rPr>
          <w:sz w:val="22"/>
          <w:szCs w:val="22"/>
          <w:u w:val="none" w:color="000000"/>
        </w:rPr>
        <w:t>“</w:t>
      </w:r>
      <w:r>
        <w:rPr>
          <w:sz w:val="22"/>
          <w:szCs w:val="22"/>
          <w:u w:val="none" w:color="000000"/>
          <w:lang w:val="en-US"/>
        </w:rPr>
        <w:t>A Comprehensive Manual of Abhidhamma</w:t>
      </w:r>
      <w:r>
        <w:rPr>
          <w:sz w:val="22"/>
          <w:szCs w:val="22"/>
          <w:u w:val="none" w:color="000000"/>
        </w:rPr>
        <w:t>”</w:t>
      </w:r>
      <w:r>
        <w:rPr>
          <w:sz w:val="22"/>
          <w:szCs w:val="22"/>
          <w:u w:val="none" w:color="000000"/>
          <w:lang w:val="en-US"/>
        </w:rPr>
        <w:t xml:space="preserve">. Moreover, it has been translated together with its commentary as </w:t>
      </w:r>
      <w:r>
        <w:rPr>
          <w:sz w:val="22"/>
          <w:szCs w:val="22"/>
          <w:u w:val="none" w:color="000000"/>
        </w:rPr>
        <w:t>“</w:t>
      </w:r>
      <w:r>
        <w:rPr>
          <w:sz w:val="22"/>
          <w:szCs w:val="22"/>
          <w:u w:val="none" w:color="000000"/>
          <w:lang w:val="en-US"/>
        </w:rPr>
        <w:t>Summary of the                            Topics of Abhidhamma</w:t>
      </w:r>
      <w:r>
        <w:rPr>
          <w:sz w:val="22"/>
          <w:szCs w:val="22"/>
          <w:u w:val="none" w:color="000000"/>
        </w:rPr>
        <w:t xml:space="preserve">” </w:t>
      </w:r>
      <w:r>
        <w:rPr>
          <w:sz w:val="22"/>
          <w:szCs w:val="22"/>
          <w:u w:val="none" w:color="000000"/>
          <w:lang w:val="en-US"/>
        </w:rPr>
        <w:t xml:space="preserve">and </w:t>
      </w:r>
      <w:r>
        <w:rPr>
          <w:sz w:val="22"/>
          <w:szCs w:val="22"/>
          <w:u w:val="none" w:color="000000"/>
        </w:rPr>
        <w:t>“</w:t>
      </w:r>
      <w:r>
        <w:rPr>
          <w:sz w:val="22"/>
          <w:szCs w:val="22"/>
          <w:u w:val="none" w:color="000000"/>
          <w:lang w:val="en-US"/>
        </w:rPr>
        <w:t>Exposition of the Topics of Abhidhamma</w:t>
      </w:r>
      <w:r>
        <w:rPr>
          <w:sz w:val="22"/>
          <w:szCs w:val="22"/>
          <w:u w:val="none" w:color="000000"/>
        </w:rPr>
        <w:t xml:space="preserve">”, by R.P. Wijeratne and </w:t>
      </w:r>
      <w:r>
        <w:rPr>
          <w:sz w:val="22"/>
          <w:szCs w:val="22"/>
          <w:u w:val="none" w:color="000000"/>
          <w:lang w:val="nl-NL"/>
        </w:rPr>
        <w:t xml:space="preserve">  </w:t>
      </w:r>
      <w:r>
        <w:rPr>
          <w:sz w:val="22"/>
          <w:szCs w:val="22"/>
          <w:u w:val="none" w:color="000000"/>
          <w:lang w:val="en-US"/>
        </w:rPr>
        <w:t xml:space="preserve">Rupert Gethin. </w:t>
      </w:r>
    </w:p>
  </w:footnote>
  <w:footnote w:id="31">
    <w:p>
      <w:pPr>
        <w:pStyle w:val="Footnote"/>
        <w:rPr>
          <w:color w:val="000000"/>
          <w:sz w:val="28"/>
          <w:szCs w:val="28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2"/>
          <w:szCs w:val="22"/>
          <w:lang w:val="en-US"/>
        </w:rPr>
        <w:t>The P.T.S. edition suggests that the date is between the 8th and the 12th century A.D.</w:t>
      </w:r>
      <w:r>
        <w:rPr>
          <w:color w:val="000000"/>
          <w:sz w:val="28"/>
          <w:szCs w:val="28"/>
        </w:rPr>
        <w:t xml:space="preserve"> </w:t>
      </w:r>
    </w:p>
  </w:footnote>
  <w:footnote w:id="32">
    <w:p>
      <w:pPr>
        <w:pStyle w:val="Footnote"/>
        <w:rPr>
          <w:sz w:val="22"/>
          <w:szCs w:val="22"/>
          <w:u w:val="none" w:color="000000"/>
          <w:lang w:val="en-US"/>
        </w:rPr>
      </w:pPr>
      <w:r>
        <w:rPr>
          <w:vertAlign w:val="superscript"/>
        </w:rPr>
        <w:footnoteRef/>
        <w:tab/>
      </w:r>
      <w:r>
        <w:rPr/>
        <w:t xml:space="preserve"> </w:t>
      </w:r>
      <w:r>
        <w:rPr>
          <w:sz w:val="24"/>
          <w:szCs w:val="24"/>
          <w:lang w:val="en-US"/>
        </w:rPr>
        <w:t xml:space="preserve">Translated into English by </w:t>
      </w:r>
      <w:r>
        <w:rPr>
          <w:sz w:val="22"/>
          <w:szCs w:val="22"/>
          <w:u w:val="none" w:color="000000"/>
          <w:lang w:val="en-US"/>
        </w:rPr>
        <w:t xml:space="preserve">by R.P. Wijeratne and Rupert Gethin, see footnote 29.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oofdtekst"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  <w:tab w:val="left" w:pos="7371" w:leader="none"/>
        <w:tab w:val="left" w:pos="7938" w:leader="none"/>
        <w:tab w:val="left" w:pos="8505" w:leader="none"/>
        <w:tab w:val="left" w:pos="9072" w:leader="none"/>
      </w:tabs>
      <w:spacing w:before="0" w:after="240"/>
      <w:ind w:left="5102" w:right="0" w:hanging="0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072"/>
        </w:tabs>
        <w:ind w:left="18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9072"/>
        </w:tabs>
        <w:ind w:left="54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9072"/>
        </w:tabs>
        <w:ind w:left="90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9072"/>
        </w:tabs>
        <w:ind w:left="126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9072"/>
        </w:tabs>
        <w:ind w:left="162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9072"/>
        </w:tabs>
        <w:ind w:left="198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9072"/>
        </w:tabs>
        <w:ind w:left="234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9072"/>
        </w:tabs>
        <w:ind w:left="270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9072"/>
        </w:tabs>
        <w:ind w:left="306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isplayBackgroundShape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GB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vertAlign w:val="baseline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ofdtekst">
    <w:name w:val="Hoofdtekst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240"/>
      <w:ind w:left="0" w:right="0" w:hanging="0"/>
      <w:jc w:val="left"/>
    </w:pPr>
    <w:rPr>
      <w:rFonts w:ascii="pCharter" w:hAnsi="pCharte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A"/>
      <w:vertAlign w:val="baseline"/>
      <w:lang w:val="en-GB" w:eastAsia="zh-CN" w:bidi="hi-IN"/>
    </w:rPr>
  </w:style>
  <w:style w:type="paragraph" w:styleId="Vrijevorm">
    <w:name w:val="Vrije vorm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  <w:tab w:val="left" w:pos="1120" w:leader="none"/>
        <w:tab w:val="left" w:pos="1680" w:leader="none"/>
        <w:tab w:val="left" w:pos="2240" w:leader="none"/>
        <w:tab w:val="left" w:pos="2800" w:leader="none"/>
        <w:tab w:val="left" w:pos="3360" w:leader="none"/>
        <w:tab w:val="left" w:pos="3920" w:leader="none"/>
        <w:tab w:val="left" w:pos="4480" w:leader="none"/>
        <w:tab w:val="left" w:pos="5040" w:leader="none"/>
        <w:tab w:val="left" w:pos="5600" w:leader="none"/>
        <w:tab w:val="left" w:pos="6160" w:leader="none"/>
        <w:tab w:val="left" w:pos="67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pCharter" w:hAnsi="pCharte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A"/>
      <w:vertAlign w:val="baseline"/>
      <w:lang w:val="en-GB" w:eastAsia="zh-CN" w:bidi="hi-IN"/>
    </w:rPr>
  </w:style>
  <w:style w:type="paragraph" w:styleId="Footnote">
    <w:name w:val="Footnot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</w:style>
  <w:style w:type="numbering" w:styleId="Opsomming">
    <w:name w:val="Opsomming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pCharter"/>
        <a:ea typeface="pCharter"/>
        <a:cs typeface="pCharter"/>
      </a:majorFont>
      <a:minorFont>
        <a:latin typeface="pCharter"/>
        <a:ea typeface="pCharter"/>
        <a:cs typeface="pCharte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36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355600" algn="l"/>
            <a:tab pos="711200" algn="l"/>
            <a:tab pos="1066800" algn="l"/>
            <a:tab pos="1422400" algn="l"/>
            <a:tab pos="1778000" algn="l"/>
            <a:tab pos="2133600" algn="l"/>
            <a:tab pos="2489200" algn="l"/>
            <a:tab pos="2844800" algn="l"/>
            <a:tab pos="3200400" algn="l"/>
            <a:tab pos="3556000" algn="l"/>
            <a:tab pos="3911600" algn="l"/>
            <a:tab pos="4267200" algn="l"/>
          </a:tabLst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pChar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36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355600" algn="l"/>
            <a:tab pos="711200" algn="l"/>
            <a:tab pos="1066800" algn="l"/>
            <a:tab pos="1422400" algn="l"/>
            <a:tab pos="1778000" algn="l"/>
            <a:tab pos="2133600" algn="l"/>
            <a:tab pos="2489200" algn="l"/>
            <a:tab pos="2844800" algn="l"/>
            <a:tab pos="3200400" algn="l"/>
            <a:tab pos="3556000" algn="l"/>
            <a:tab pos="3911600" algn="l"/>
            <a:tab pos="4267200" algn="l"/>
          </a:tabLst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Charte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