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9DB73">
      <w:pPr>
        <w:pStyle w:val="2"/>
        <w:jc w:val="center"/>
        <w:rPr>
          <w:rFonts w:hint="eastAsia" w:ascii="黑体" w:hAnsi="黑体" w:cstheme="minorEastAsia"/>
          <w:b w:val="0"/>
          <w:bCs/>
          <w:lang w:eastAsia="zh-Hans"/>
        </w:rPr>
      </w:pPr>
      <w:r>
        <w:rPr>
          <w:rFonts w:hint="eastAsia" w:ascii="黑体" w:hAnsi="黑体" w:cstheme="minorEastAsia"/>
          <w:b w:val="0"/>
          <w:bCs/>
        </w:rPr>
        <w:t>智能</w:t>
      </w:r>
      <w:r>
        <w:rPr>
          <w:rFonts w:ascii="黑体" w:hAnsi="黑体" w:cstheme="minorEastAsia"/>
          <w:b w:val="0"/>
          <w:bCs/>
        </w:rPr>
        <w:t>图书馆</w:t>
      </w:r>
      <w:r>
        <w:rPr>
          <w:rFonts w:hint="eastAsia" w:ascii="黑体" w:hAnsi="黑体" w:cstheme="minorEastAsia"/>
          <w:b w:val="0"/>
          <w:bCs/>
          <w:lang w:eastAsia="zh-Hans"/>
        </w:rPr>
        <w:t>系统参数论证</w:t>
      </w:r>
    </w:p>
    <w:p w14:paraId="1AD470FE">
      <w:pPr>
        <w:pStyle w:val="3"/>
        <w:rPr>
          <w:rFonts w:hint="eastAsia" w:ascii="仿宋_GB2312" w:eastAsia="仿宋_GB2312" w:hAnsiTheme="minorEastAsia" w:cstheme="minorEastAsia"/>
          <w:b w:val="0"/>
          <w:bCs/>
          <w:sz w:val="24"/>
          <w:lang w:eastAsia="zh-Hans"/>
        </w:rPr>
      </w:pPr>
      <w:r>
        <w:rPr>
          <w:rFonts w:hint="eastAsia" w:ascii="仿宋_GB2312" w:eastAsia="仿宋_GB2312" w:hAnsiTheme="minorEastAsia" w:cstheme="minorEastAsia"/>
          <w:b w:val="0"/>
          <w:bCs/>
          <w:sz w:val="24"/>
          <w:lang w:eastAsia="zh-Hans"/>
        </w:rPr>
        <w:t>1.智慧门户系统</w:t>
      </w:r>
    </w:p>
    <w:tbl>
      <w:tblPr>
        <w:tblStyle w:val="6"/>
        <w:tblW w:w="5000" w:type="pct"/>
        <w:jc w:val="center"/>
        <w:tblLayout w:type="autofit"/>
        <w:tblCellMar>
          <w:top w:w="0" w:type="dxa"/>
          <w:left w:w="0" w:type="dxa"/>
          <w:bottom w:w="0" w:type="dxa"/>
          <w:right w:w="0" w:type="dxa"/>
        </w:tblCellMar>
      </w:tblPr>
      <w:tblGrid>
        <w:gridCol w:w="738"/>
        <w:gridCol w:w="738"/>
        <w:gridCol w:w="10552"/>
        <w:gridCol w:w="892"/>
        <w:gridCol w:w="1063"/>
      </w:tblGrid>
      <w:tr w14:paraId="302E63C0">
        <w:tblPrEx>
          <w:tblCellMar>
            <w:top w:w="0" w:type="dxa"/>
            <w:left w:w="0" w:type="dxa"/>
            <w:bottom w:w="0" w:type="dxa"/>
            <w:right w:w="0" w:type="dxa"/>
          </w:tblCellMar>
        </w:tblPrEx>
        <w:trPr>
          <w:tblHeader/>
          <w:jc w:val="center"/>
        </w:trPr>
        <w:tc>
          <w:tcPr>
            <w:tcW w:w="264"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62FF8C2D">
            <w:pPr>
              <w:widowControl/>
              <w:jc w:val="left"/>
              <w:rPr>
                <w:rFonts w:hint="eastAsia" w:ascii="仿宋_GB2312" w:hAnsi="宋体" w:eastAsia="仿宋_GB2312"/>
                <w:bCs/>
                <w:kern w:val="0"/>
                <w:sz w:val="18"/>
                <w:szCs w:val="18"/>
              </w:rPr>
            </w:pPr>
            <w:bookmarkStart w:id="4" w:name="_GoBack"/>
            <w:r>
              <w:rPr>
                <w:rFonts w:hint="eastAsia" w:ascii="仿宋_GB2312" w:hAnsi="宋体" w:eastAsia="仿宋_GB2312"/>
                <w:bCs/>
                <w:kern w:val="0"/>
                <w:sz w:val="18"/>
                <w:szCs w:val="18"/>
              </w:rPr>
              <mc:AlternateContent>
                <mc:Choice Requires="wps">
                  <w:drawing>
                    <wp:anchor distT="0" distB="0" distL="114300" distR="114300" simplePos="0" relativeHeight="251659264" behindDoc="0" locked="0" layoutInCell="1" allowOverlap="1">
                      <wp:simplePos x="0" y="0"/>
                      <wp:positionH relativeFrom="column">
                        <wp:posOffset>-2327910</wp:posOffset>
                      </wp:positionH>
                      <wp:positionV relativeFrom="paragraph">
                        <wp:posOffset>2204085</wp:posOffset>
                      </wp:positionV>
                      <wp:extent cx="119380" cy="36195"/>
                      <wp:effectExtent l="5715" t="5715" r="12065" b="19050"/>
                      <wp:wrapNone/>
                      <wp:docPr id="1537868236"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
                                <w14:nvContentPartPr>
                                  <w14:cNvPr id="1537868236" name="墨迹 1"/>
                                  <w14:cNvContentPartPr/>
                                </w14:nvContentPartPr>
                                <w14:xfrm>
                                  <a:off x="0" y="0"/>
                                  <a:ext cx="119160" cy="36360"/>
                                </w14:xfrm>
                              </w14:contentPart>
                            </mc:Choice>
                          </mc:AlternateContent>
                        </a:graphicData>
                      </a:graphic>
                    </wp:anchor>
                  </w:drawing>
                </mc:Choice>
                <mc:Fallback>
                  <w:pict>
                    <v:shape id="墨迹 1" o:spid="_x0000_s1026" o:spt="75" style="position:absolute;left:0pt;margin-left:-183.3pt;margin-top:173.55pt;height:2.85pt;width:9.4pt;z-index:251659264;mso-width-relative:page;mso-height-relative:page;" coordsize="21600,21600" o:gfxdata="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BFP9592wAAAA0BAAAPAAAAAAAAAAEAIAAA&#10;ACIAAABkcnMvZG93bnJldi54bWxQSwECFAAUAAAACACHTuJAlEGW7J8BAACHAwAADgAAAAAAAAAB&#10;ACAAAAAqAQAAZHJzL2Uyb0RvYy54bWxQSwECFAAKAAAAAACHTuJAAAAAAAAAAAAAAAAACAAAAAAA&#10;AAAAABAAAAD1AgAAZHJzL2luay9QSwECFAAUAAAACACHTuJAII2fMQICAAAPBQAAEAAAAAAAAAAB&#10;ACAAAAAbAwAAZHJzL2luay9pbmsxLnhtbFBLBQYAAAAACgAKAEwCAAC2CAAAAAA=&#10;">
                      <v:imagedata r:id="rId6" o:title=""/>
                      <o:lock v:ext="edit"/>
                    </v:shape>
                  </w:pict>
                </mc:Fallback>
              </mc:AlternateContent>
            </w:r>
            <w:bookmarkEnd w:id="4"/>
            <w:r>
              <w:rPr>
                <w:rFonts w:hint="eastAsia" w:ascii="仿宋_GB2312" w:hAnsi="宋体" w:eastAsia="仿宋_GB2312"/>
                <w:bCs/>
                <w:kern w:val="0"/>
                <w:sz w:val="18"/>
                <w:szCs w:val="18"/>
              </w:rPr>
              <w:t>序号</w:t>
            </w:r>
          </w:p>
        </w:tc>
        <w:tc>
          <w:tcPr>
            <w:tcW w:w="264" w:type="pct"/>
            <w:tcBorders>
              <w:top w:val="single" w:color="auto" w:sz="8" w:space="0"/>
              <w:left w:val="single" w:color="auto" w:sz="8" w:space="0"/>
              <w:bottom w:val="single" w:color="auto" w:sz="4" w:space="0"/>
              <w:right w:val="single" w:color="000000" w:sz="8" w:space="0"/>
            </w:tcBorders>
            <w:shd w:val="clear" w:color="000000" w:fill="FFFFFF"/>
            <w:vAlign w:val="center"/>
          </w:tcPr>
          <w:p w14:paraId="00B18B45">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773" w:type="pct"/>
            <w:tcBorders>
              <w:top w:val="single" w:color="auto" w:sz="8" w:space="0"/>
              <w:left w:val="single" w:color="auto" w:sz="8" w:space="0"/>
              <w:bottom w:val="single" w:color="auto" w:sz="4" w:space="0"/>
              <w:right w:val="single" w:color="000000" w:sz="8" w:space="0"/>
            </w:tcBorders>
            <w:shd w:val="clear" w:color="000000" w:fill="FFFFFF"/>
            <w:vAlign w:val="center"/>
          </w:tcPr>
          <w:p w14:paraId="36387F47">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319" w:type="pct"/>
            <w:tcBorders>
              <w:top w:val="single" w:color="auto" w:sz="8" w:space="0"/>
              <w:left w:val="single" w:color="auto" w:sz="8" w:space="0"/>
              <w:bottom w:val="single" w:color="auto" w:sz="4" w:space="0"/>
              <w:right w:val="single" w:color="000000" w:sz="8" w:space="0"/>
            </w:tcBorders>
            <w:shd w:val="clear" w:color="000000" w:fill="FFFFFF"/>
            <w:vAlign w:val="center"/>
          </w:tcPr>
          <w:p w14:paraId="30779CE3">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380" w:type="pct"/>
            <w:tcBorders>
              <w:top w:val="single" w:color="auto" w:sz="8" w:space="0"/>
              <w:left w:val="single" w:color="auto" w:sz="8" w:space="0"/>
              <w:bottom w:val="single" w:color="auto" w:sz="4" w:space="0"/>
              <w:right w:val="single" w:color="000000" w:sz="8" w:space="0"/>
            </w:tcBorders>
            <w:shd w:val="clear" w:color="000000" w:fill="FFFFFF"/>
            <w:vAlign w:val="center"/>
          </w:tcPr>
          <w:p w14:paraId="77CA8A73">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签字确认</w:t>
            </w:r>
          </w:p>
        </w:tc>
      </w:tr>
      <w:tr w14:paraId="03FA41F2">
        <w:tblPrEx>
          <w:tblCellMar>
            <w:top w:w="0" w:type="dxa"/>
            <w:left w:w="0" w:type="dxa"/>
            <w:bottom w:w="0" w:type="dxa"/>
            <w:right w:w="0" w:type="dxa"/>
          </w:tblCellMar>
        </w:tblPrEx>
        <w:trPr>
          <w:jc w:val="center"/>
        </w:trPr>
        <w:tc>
          <w:tcPr>
            <w:tcW w:w="264" w:type="pct"/>
            <w:tcBorders>
              <w:top w:val="nil"/>
              <w:left w:val="single" w:color="auto" w:sz="8" w:space="0"/>
              <w:bottom w:val="single" w:color="auto" w:sz="4" w:space="0"/>
              <w:right w:val="single" w:color="auto" w:sz="4" w:space="0"/>
            </w:tcBorders>
            <w:shd w:val="clear" w:color="000000" w:fill="FFFFFF"/>
            <w:tcMar>
              <w:top w:w="15" w:type="dxa"/>
              <w:left w:w="15" w:type="dxa"/>
              <w:bottom w:w="0" w:type="dxa"/>
              <w:right w:w="15" w:type="dxa"/>
            </w:tcMar>
            <w:vAlign w:val="center"/>
          </w:tcPr>
          <w:p w14:paraId="7EB58DE5">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264"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16117F88">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智慧门户系统</w:t>
            </w:r>
          </w:p>
        </w:tc>
        <w:tc>
          <w:tcPr>
            <w:tcW w:w="3773"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3856494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1.门户设计</w:t>
            </w:r>
          </w:p>
          <w:p w14:paraId="61458CC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（1）门户页面设计应简洁明了，突出功能特点，能够充分体现本校的特色。</w:t>
            </w:r>
          </w:p>
          <w:p w14:paraId="44363DF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（2）门户页面应具备简洁明了的操作界面，方便读者进行各种操作，同时提供包括图文提醒、活动banner等完善的帮助和提示信息，提高读者的使用体验。</w:t>
            </w:r>
          </w:p>
          <w:p w14:paraId="6FF3920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（3）门户页面应根据图书馆的要求进行首页风格模板设计，符合学校与图书馆的人文理念，能够展现出图书馆的特色和形象。</w:t>
            </w:r>
          </w:p>
          <w:p w14:paraId="6E3709C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（4）门户的栏目可以在后台进行设置与位置的拖拽调整，结果可以直接在门户页面上呈现出相同的效果。</w:t>
            </w:r>
          </w:p>
          <w:p w14:paraId="50804B9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提供不低于10种门户模板管理功能，版块栏目可以增减和选择展现形式，可以在后台馆员工作台中实现模块的增减、模块展现形式的切换、顺序的拖动等强大的管理功能，方便管馆员对门户页面进行灵活的维护和管理。</w:t>
            </w:r>
          </w:p>
          <w:p w14:paraId="363A2B3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（6）馆员可以对门户上的图片、logo内容进行灵活的控制维护。</w:t>
            </w:r>
          </w:p>
          <w:p w14:paraId="64E1211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（7）可</w:t>
            </w:r>
            <w:r>
              <w:rPr>
                <w:rFonts w:ascii="仿宋_GB2312" w:hAnsi="宋体" w:eastAsia="仿宋_GB2312"/>
                <w:bCs/>
                <w:kern w:val="0"/>
                <w:sz w:val="18"/>
                <w:szCs w:val="18"/>
              </w:rPr>
              <w:t>自定义大数据展示内容并</w:t>
            </w:r>
            <w:r>
              <w:rPr>
                <w:rFonts w:hint="eastAsia" w:ascii="仿宋_GB2312" w:hAnsi="宋体" w:eastAsia="仿宋_GB2312"/>
                <w:bCs/>
                <w:kern w:val="0"/>
                <w:sz w:val="18"/>
                <w:szCs w:val="18"/>
              </w:rPr>
              <w:t>连接</w:t>
            </w:r>
            <w:r>
              <w:rPr>
                <w:rFonts w:ascii="仿宋_GB2312" w:hAnsi="宋体" w:eastAsia="仿宋_GB2312"/>
                <w:bCs/>
                <w:kern w:val="0"/>
                <w:sz w:val="18"/>
                <w:szCs w:val="18"/>
              </w:rPr>
              <w:t>外部设备进行展示。</w:t>
            </w:r>
          </w:p>
          <w:p w14:paraId="2BBF80D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2.内容发布管理</w:t>
            </w:r>
          </w:p>
          <w:p w14:paraId="6CBF94B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提供多种形式的发布工具，包括新闻编辑器、公告发布工具、内容介绍页面生成工具等，以便馆员能够根据需要发布不同类型的消息。后台新建编辑发布内容的栏目时提供后台管理功能，允许馆员新建编辑发布内容的栏目，并根据需要自定义栏目的名称、位置和样式等。</w:t>
            </w:r>
          </w:p>
          <w:p w14:paraId="0CBA43E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（2）支持在新闻公告中插入多张图片，并能够实现新闻中图片在门户展示时的动态切换显示。</w:t>
            </w:r>
          </w:p>
          <w:p w14:paraId="60CB803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（3）允许馆员在发布新闻时自定义显示标题、发布人、发布时间、浏览量等信息，方便读者快速了解新闻的主要内容和相关信息。</w:t>
            </w:r>
          </w:p>
          <w:p w14:paraId="7A0341A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（4）具备完善的后台信息发布流程，包括编辑、审核和发布等环节，支持自定义审核成员。</w:t>
            </w:r>
          </w:p>
          <w:p w14:paraId="69FB9FC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（5）允许馆员对已发布的新闻内容进行撤销、删除等操作。</w:t>
            </w:r>
          </w:p>
          <w:p w14:paraId="752D80F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（6）允许馆员自行选择字体，并提供所见即所得的编辑工具，使得馆员在编辑新闻内容时能够实时预览排版效果，确保前台显示与后台编辑排版一致。</w:t>
            </w:r>
          </w:p>
          <w:p w14:paraId="6DB95E3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（7）支持常见的图片格式，包括但不限于JPG、PNG、GIF等，同时支持插入动画多媒体效果。</w:t>
            </w:r>
          </w:p>
          <w:p w14:paraId="7B615A8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（8）支持在新闻版块中添加轮播功能，以便展示一系列的图片或信息。</w:t>
            </w:r>
          </w:p>
          <w:p w14:paraId="60DB879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（9）支持关键词过滤功能，并允许馆员设置字典。</w:t>
            </w:r>
          </w:p>
          <w:p w14:paraId="60EDD13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3.读者服务</w:t>
            </w:r>
          </w:p>
          <w:p w14:paraId="1E804CF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（1）支持发布展示图书馆的读者服务项目与介绍内容，包括服务的具体说明、业务流程、相关服务、联系方式等，以便读者了解各类服务的内容和流程。</w:t>
            </w:r>
          </w:p>
          <w:p w14:paraId="3B15E16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（2）支持多栏目的管理，可以为大的服务类别下添加具体的服务小项，以便对服务类别进行分类和管理。</w:t>
            </w:r>
          </w:p>
          <w:p w14:paraId="5175B47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（3）支持在服务类别中添加具体的服务介绍，以便对每个服务小项进行详细介绍。</w:t>
            </w:r>
          </w:p>
          <w:p w14:paraId="2B9916F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（4）允许在前台展示服务介绍内容，以便读者查看。同时应提供相应的编辑工具，以便馆员对服务介绍内容进行编辑和管理。编辑器支持所见即所得的编辑方式，确保排版效果与前台显示一致。</w:t>
            </w:r>
          </w:p>
          <w:p w14:paraId="2B12E47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（5）支持插入图片、视频等多媒体文件，并允许馆员插入超链接。</w:t>
            </w:r>
          </w:p>
          <w:p w14:paraId="0ED4525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4.参考咨询</w:t>
            </w:r>
          </w:p>
          <w:p w14:paraId="0266F58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（1）提供友好的在线咨询和问题提交界面，支持用户输入问题和提交。</w:t>
            </w:r>
          </w:p>
          <w:p w14:paraId="42E4DD9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（2）系统优先通过匹配咨询库中的内容自动提供答案，如系统答案读者满意，则咨询结束，否则进入馆员人工回复环节。</w:t>
            </w:r>
          </w:p>
          <w:p w14:paraId="61156BC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（3）展示个人发起的所有咨询记录，读者可根据需要查看每条咨询的具体回复详情。</w:t>
            </w:r>
          </w:p>
          <w:p w14:paraId="0DD5A40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（4）建立完善的咨询库，支持通过采用技术手段，自动检索出用户提出的问题并提供可能的答案。</w:t>
            </w:r>
          </w:p>
          <w:p w14:paraId="5802E42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（5）系统可根据用户的问题，匹配出相关答案。</w:t>
            </w:r>
          </w:p>
          <w:p w14:paraId="01F89CA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（6）馆员对于人工答复过的问题，可以选择手动添加至咨询库，为后续回答问题提供基础数据。</w:t>
            </w:r>
          </w:p>
          <w:p w14:paraId="399F0B7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（7）预留接口，方便与其他系统或数据库进行集成，并且可以方便地进行升级和维护。</w:t>
            </w:r>
          </w:p>
          <w:p w14:paraId="25868DD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5.阅读推广</w:t>
            </w:r>
          </w:p>
          <w:p w14:paraId="35FBA2B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（1）馆员可以根据图书馆的读书活动或阅读活动设置推荐主题，系统可以根据主题自动生成可在图书馆门户展示的栏目。</w:t>
            </w:r>
          </w:p>
          <w:p w14:paraId="119EB9E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（2）馆员可以上传更新的资源封面，以提供更直观的资源展示效果。</w:t>
            </w:r>
          </w:p>
          <w:p w14:paraId="114F725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6.智能推送</w:t>
            </w:r>
          </w:p>
          <w:p w14:paraId="64A7A3C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基于用户类型、资源类型、标签词典等模块与图书馆资源建设统一检索平台，实现资源的精准推送。</w:t>
            </w:r>
          </w:p>
          <w:p w14:paraId="0E4428A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（1）基于数据分析，通过数据采集、传输、处理和分析等方法，实现对读者行为的深度分析。</w:t>
            </w:r>
          </w:p>
          <w:p w14:paraId="67D72F3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（2）通过采集和分析读者的行为数据，标准化处理数据，预测读者未来阅读倾向和提供个性化信息服务。</w:t>
            </w:r>
          </w:p>
          <w:p w14:paraId="453BD19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（3）通过采集和分析资源借阅、浏览、下载数据，提供更精准的资源推荐。</w:t>
            </w:r>
          </w:p>
          <w:p w14:paraId="22E52C1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（4）通过搜索技术和知识图谱技术，能够将相关的知识和信息推送给特定的用户和群体。</w:t>
            </w:r>
          </w:p>
          <w:p w14:paraId="2FE26B1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（5）可根据每个用户的阅读历史、搜索记录、借阅记录等使用历史，生成相应的兴趣模型。</w:t>
            </w:r>
          </w:p>
          <w:p w14:paraId="1C342CE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（6）基于生成的兴趣模型，主动向用户推荐优秀的文献内容。推荐内容可以包括图书、期刊论文、学位论文等，涵盖多个领域和主题。</w:t>
            </w:r>
          </w:p>
          <w:p w14:paraId="18AA521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（7）具备自动学习和更新兴趣模型的功能，可以根据用户的反馈和使用历史的改变，根据用户兴趣模型的变化，动态调整推荐的内容，不断调整和优化兴趣模型，更好地满足用户资源需求。</w:t>
            </w:r>
          </w:p>
          <w:p w14:paraId="591BDF1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（8）预留接口与其他系统或数据库进行对接，可以方便地进行升级和维护。</w:t>
            </w:r>
          </w:p>
          <w:p w14:paraId="1D4B8CE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7.图书资源专题</w:t>
            </w:r>
          </w:p>
          <w:p w14:paraId="7668DE7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（1）馆员可以创建和编辑专题，包括对专题名称、专题内容、专题分类、封面图等信息进行编辑和管理。</w:t>
            </w:r>
          </w:p>
          <w:p w14:paraId="302C758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（2）应用应提供工具支持馆内各类电子和纸本文献的整理汇编，以形成相关的专题。</w:t>
            </w:r>
          </w:p>
          <w:p w14:paraId="34A6336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（3）一旦专题设置后数据更新，专题也会自动更新。</w:t>
            </w:r>
          </w:p>
          <w:p w14:paraId="670E00E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（4）应用应支持专题数据的持久化存储，确保数据的稳定性和可访问性。</w:t>
            </w:r>
          </w:p>
          <w:p w14:paraId="7062433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5</w:t>
            </w:r>
            <w:r>
              <w:rPr>
                <w:rFonts w:hint="eastAsia" w:ascii="仿宋_GB2312" w:hAnsi="宋体" w:eastAsia="仿宋_GB2312"/>
                <w:bCs/>
                <w:kern w:val="0"/>
                <w:sz w:val="18"/>
                <w:szCs w:val="18"/>
              </w:rPr>
              <w:t>）专题汇编应用的设计应考虑未来的扩展性和灵活性，方便与其他系统或数据库进行集成，并能够方便地进行升级和维护。</w:t>
            </w:r>
          </w:p>
          <w:p w14:paraId="04B9FBD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6</w:t>
            </w:r>
            <w:r>
              <w:rPr>
                <w:rFonts w:hint="eastAsia" w:ascii="仿宋_GB2312" w:hAnsi="宋体" w:eastAsia="仿宋_GB2312"/>
                <w:bCs/>
                <w:kern w:val="0"/>
                <w:sz w:val="18"/>
                <w:szCs w:val="18"/>
              </w:rPr>
              <w:t>）支持馆员发布跟专题相关的热点动态数据及相关的资料分享，丰富专题模块。</w:t>
            </w:r>
          </w:p>
          <w:p w14:paraId="6DFF0CA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8.“纸电媒”统一检索系统</w:t>
            </w:r>
          </w:p>
          <w:p w14:paraId="6C94EFD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（1）建设实现一站式检索引擎，能够实现基于文献资源数据收割后的馆藏电子资源与纸本资源的整合，达到篇级统一检索。</w:t>
            </w:r>
          </w:p>
          <w:p w14:paraId="28C27D3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（2）不同数据库的元数据在检索结果中应以相同的显示效果实现融合。</w:t>
            </w:r>
          </w:p>
          <w:p w14:paraId="4849E2D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（3）检索结果应能支持按照检索条件的相关度和出版日期进行综合排序。</w:t>
            </w:r>
          </w:p>
          <w:p w14:paraId="55915A9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（4）在检索结果中对与检索条件相匹配的内容进行标红处理。</w:t>
            </w:r>
          </w:p>
          <w:p w14:paraId="444CCA3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（5）支持对多个数据库中的同一篇文献符合读者检索结果的相关内容进行合并显示，只保留一条数据记录，并显示该文献的多个来源数据库，允许读者选择获取全文的途径。</w:t>
            </w:r>
          </w:p>
          <w:p w14:paraId="50F7644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（6）支持切换不同的文献类型选择相应的检索入口，例如图书、期刊、学位论文，不同的文献类型检索入口划分不同检索条件。</w:t>
            </w:r>
          </w:p>
          <w:p w14:paraId="3DCE8A4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提供高级检索、二次检索，高级检索、专业检索等。可以根据元数据字段进行组合检索。并可支持任意字段的精确匹配、模糊匹配等多种方式检索。支持读者输入复杂检索表达式进行检索。能够整合纸本系统OPAC内容和服务，检索纸本图书内容结果必须与OPAC的检索结果一致，结果详情中显示与OPAC中相同文献的详细信息。</w:t>
            </w:r>
          </w:p>
          <w:p w14:paraId="379C80A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（8）在检索中任意搜索一个书名，筛选纸本图书，结果应该与OPAC中的相同条件结果完整一致。</w:t>
            </w:r>
          </w:p>
          <w:p w14:paraId="09FFF72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（9）检索结果按列表模式显示，分为摘要模式和简介模式两种，两种模式中显示内容可以根据需求自定义。</w:t>
            </w:r>
          </w:p>
          <w:p w14:paraId="3BB9A2B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（10）检索结果提供分面聚类的筛选，筛选条件可以在系统中自定义；检索结果可以按相关度、发表时间排序方式自由切换。</w:t>
            </w:r>
          </w:p>
          <w:p w14:paraId="5BA4BAA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（11）支持将结果按引文、EndNote、NoteExpress、RefWorks等格式导出。</w:t>
            </w:r>
          </w:p>
          <w:p w14:paraId="599A310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（12）支持中图法分类与教育部学科分类进行数据标引。分类层级至少要到二级目录。可以标识核心期刊。</w:t>
            </w:r>
          </w:p>
          <w:p w14:paraId="0B588E0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（13）文献的详细页面显示内容按不同文献类型显示元数据信息，显示内容可以根据馆员需求自定义。</w:t>
            </w:r>
          </w:p>
          <w:p w14:paraId="5F4D4EE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（14）在详情页提供</w:t>
            </w:r>
            <w:r>
              <w:rPr>
                <w:rFonts w:hint="eastAsia" w:ascii="仿宋_GB2312" w:hAnsi="宋体" w:eastAsia="仿宋_GB2312"/>
                <w:bCs/>
                <w:color w:val="FF0000"/>
                <w:kern w:val="0"/>
                <w:sz w:val="18"/>
                <w:szCs w:val="18"/>
              </w:rPr>
              <w:t>全文链接</w:t>
            </w:r>
            <w:r>
              <w:rPr>
                <w:rFonts w:hint="eastAsia" w:ascii="仿宋_GB2312" w:hAnsi="宋体" w:eastAsia="仿宋_GB2312"/>
                <w:bCs/>
                <w:kern w:val="0"/>
                <w:sz w:val="18"/>
                <w:szCs w:val="18"/>
              </w:rPr>
              <w:t>，读者在原始数据库中下载全文，系统本身不能保存和直接提供商业数据全文，不能侵犯数据库版权，否则后果由系统提供商承担。</w:t>
            </w:r>
          </w:p>
          <w:p w14:paraId="33D8BBC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（15）支持敏感词过滤，并且允许馆员自己定义词典，定制过滤检索结果功能。</w:t>
            </w:r>
          </w:p>
          <w:p w14:paraId="1CA87C3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（16）支持定时、手动更新索引，确保检索内容为最新纸质资源和数字资源内容。</w:t>
            </w:r>
          </w:p>
          <w:p w14:paraId="06B10E7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9.学术辅助分析</w:t>
            </w:r>
          </w:p>
          <w:p w14:paraId="51839FB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（1）支持基于文献计量学的学术辅助分析，能够对检索结果进行深入的统计和分析。</w:t>
            </w:r>
          </w:p>
          <w:p w14:paraId="41936F8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（2）能够对文献、数据等信息进行预处理，包括文本清洗、分词、关键词提取等，在服务前台能进行相关字段筛选。</w:t>
            </w:r>
          </w:p>
          <w:p w14:paraId="502A300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（3）能够统计检索结果的学术成果产出，包括论文数量、分布年限等指标。</w:t>
            </w:r>
          </w:p>
          <w:p w14:paraId="7D829B1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（4）能够分析检索结果中主要的发文人物，统计其发文数量、相关主题等指标。</w:t>
            </w:r>
          </w:p>
          <w:p w14:paraId="1685CEC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（5）能够分析检索结果中主要的发文机构，统计其发文数量、相关主题等指标。</w:t>
            </w:r>
          </w:p>
          <w:p w14:paraId="265A6BF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（6）能够分析检索结果中主要的学科，统计其发文数量、主题等指标。</w:t>
            </w:r>
          </w:p>
          <w:p w14:paraId="75EC4A4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（7）能够分析检索结果中主要的期刊，统计其发文数量指标。</w:t>
            </w:r>
          </w:p>
          <w:p w14:paraId="04EB63F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（8）能够将分析结果以图表、报告等形式进行可视化展示，以便读者更好地理解和利用分析结果进行学术研究。</w:t>
            </w:r>
          </w:p>
          <w:p w14:paraId="55659A5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10.专家图书馆</w:t>
            </w:r>
          </w:p>
          <w:p w14:paraId="35DE151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（1）实现专家数据的采集、存储、管理和查询等功能，包括专家的基本信息、科研成果、荣誉奖项等。</w:t>
            </w:r>
          </w:p>
          <w:p w14:paraId="23DC7411">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支持为每名专家生成个人科研成果主页，完全揭示在图书馆现有资源体系下专家的科研态势。支持读者按照状态、类型、职称、单位、关键词进行检索，便于用户快速找到符合条件的专家。提供专家认证申请功能，支持</w:t>
            </w:r>
            <w:r>
              <w:rPr>
                <w:rFonts w:ascii="仿宋_GB2312" w:hAnsi="宋体" w:eastAsia="仿宋_GB2312"/>
                <w:bCs/>
                <w:kern w:val="0"/>
                <w:sz w:val="18"/>
                <w:szCs w:val="18"/>
              </w:rPr>
              <w:t>人工审核，</w:t>
            </w:r>
            <w:r>
              <w:rPr>
                <w:rFonts w:hint="eastAsia" w:ascii="仿宋_GB2312" w:hAnsi="宋体" w:eastAsia="仿宋_GB2312"/>
                <w:bCs/>
                <w:kern w:val="0"/>
                <w:sz w:val="18"/>
                <w:szCs w:val="18"/>
              </w:rPr>
              <w:t>审核内容包括但不限于申请人的学术水平、研究成果、荣誉奖项等。</w:t>
            </w:r>
          </w:p>
          <w:p w14:paraId="5B5D800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3</w:t>
            </w:r>
            <w:r>
              <w:rPr>
                <w:rFonts w:hint="eastAsia" w:ascii="仿宋_GB2312" w:hAnsi="宋体" w:eastAsia="仿宋_GB2312"/>
                <w:bCs/>
                <w:kern w:val="0"/>
                <w:sz w:val="18"/>
                <w:szCs w:val="18"/>
              </w:rPr>
              <w:t>）系统自动为专家推送疑似成果，专家可通过门户管理功能认领自己的学术成果，并对其进行二次标引入库。</w:t>
            </w:r>
          </w:p>
          <w:p w14:paraId="2D063E5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4</w:t>
            </w:r>
            <w:r>
              <w:rPr>
                <w:rFonts w:hint="eastAsia" w:ascii="仿宋_GB2312" w:hAnsi="宋体" w:eastAsia="仿宋_GB2312"/>
                <w:bCs/>
                <w:kern w:val="0"/>
                <w:sz w:val="18"/>
                <w:szCs w:val="18"/>
              </w:rPr>
              <w:t>）专家可以通过门户管理功能分享自己的经验讲义以及系统未收录的学术成果。</w:t>
            </w:r>
          </w:p>
          <w:p w14:paraId="6391DA8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5</w:t>
            </w:r>
            <w:r>
              <w:rPr>
                <w:rFonts w:hint="eastAsia" w:ascii="仿宋_GB2312" w:hAnsi="宋体" w:eastAsia="仿宋_GB2312"/>
                <w:bCs/>
                <w:kern w:val="0"/>
                <w:sz w:val="18"/>
                <w:szCs w:val="18"/>
              </w:rPr>
              <w:t>）系统提供专家认领成果以及个人分享成果的态势分析，允许专家导出个人成果分析报表。</w:t>
            </w:r>
          </w:p>
          <w:p w14:paraId="6D7A62B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w:t>
            </w:r>
            <w:r>
              <w:rPr>
                <w:rFonts w:ascii="仿宋_GB2312" w:hAnsi="宋体" w:eastAsia="仿宋_GB2312"/>
                <w:bCs/>
                <w:kern w:val="0"/>
                <w:sz w:val="18"/>
                <w:szCs w:val="18"/>
              </w:rPr>
              <w:t>6</w:t>
            </w:r>
            <w:r>
              <w:rPr>
                <w:rFonts w:hint="eastAsia" w:ascii="仿宋_GB2312" w:hAnsi="宋体" w:eastAsia="仿宋_GB2312"/>
                <w:bCs/>
                <w:kern w:val="0"/>
                <w:sz w:val="18"/>
                <w:szCs w:val="18"/>
              </w:rPr>
              <w:t>）预留数据</w:t>
            </w:r>
            <w:r>
              <w:rPr>
                <w:rFonts w:ascii="仿宋_GB2312" w:hAnsi="宋体" w:eastAsia="仿宋_GB2312"/>
                <w:bCs/>
                <w:kern w:val="0"/>
                <w:sz w:val="18"/>
                <w:szCs w:val="18"/>
              </w:rPr>
              <w:t>接口，</w:t>
            </w:r>
            <w:r>
              <w:rPr>
                <w:rFonts w:hint="eastAsia" w:ascii="仿宋_GB2312" w:hAnsi="宋体" w:eastAsia="仿宋_GB2312"/>
                <w:bCs/>
                <w:kern w:val="0"/>
                <w:sz w:val="18"/>
                <w:szCs w:val="18"/>
              </w:rPr>
              <w:t>要求</w:t>
            </w:r>
            <w:r>
              <w:rPr>
                <w:rFonts w:ascii="仿宋_GB2312" w:hAnsi="宋体" w:eastAsia="仿宋_GB2312"/>
                <w:bCs/>
                <w:kern w:val="0"/>
                <w:sz w:val="18"/>
                <w:szCs w:val="18"/>
              </w:rPr>
              <w:t>与双化整体建设</w:t>
            </w:r>
            <w:r>
              <w:rPr>
                <w:rFonts w:hint="eastAsia" w:ascii="仿宋_GB2312" w:hAnsi="宋体" w:eastAsia="仿宋_GB2312"/>
                <w:bCs/>
                <w:kern w:val="0"/>
                <w:sz w:val="18"/>
                <w:szCs w:val="18"/>
              </w:rPr>
              <w:t>信息系统</w:t>
            </w:r>
            <w:r>
              <w:rPr>
                <w:rFonts w:ascii="仿宋_GB2312" w:hAnsi="宋体" w:eastAsia="仿宋_GB2312"/>
                <w:bCs/>
                <w:kern w:val="0"/>
                <w:sz w:val="18"/>
                <w:szCs w:val="18"/>
              </w:rPr>
              <w:t>集成</w:t>
            </w:r>
            <w:r>
              <w:rPr>
                <w:rFonts w:hint="eastAsia" w:ascii="仿宋_GB2312" w:hAnsi="宋体" w:eastAsia="仿宋_GB2312"/>
                <w:bCs/>
                <w:kern w:val="0"/>
                <w:sz w:val="18"/>
                <w:szCs w:val="18"/>
              </w:rPr>
              <w:t>。</w:t>
            </w:r>
          </w:p>
          <w:p w14:paraId="0B29B3E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11.多媒体库</w:t>
            </w:r>
          </w:p>
          <w:p w14:paraId="59E6E84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（1）将图书馆多个平台、多个数据库中的视频资源整合到一个平台下，并能够发布图书馆自行采集的视频资源。可设置系统板块和类别。可按来源平台、内容进行分类，方便用户查找和使用。</w:t>
            </w:r>
          </w:p>
          <w:p w14:paraId="0A6AADD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（2）支持图书馆自行上传、发布、管理多种格式的视频资源，能够对视频资源的题名、来源、主讲人、制作者、格式、大小、类别、专题等信息进行标引，形成独立的视频资源库。</w:t>
            </w:r>
          </w:p>
          <w:p w14:paraId="399BB8B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（3）自建视频模块具有独立的管理后台，能够对视频资源进行推荐、下架、删除等管理。</w:t>
            </w:r>
          </w:p>
          <w:p w14:paraId="260B2E3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12.知识对象发现</w:t>
            </w:r>
          </w:p>
          <w:p w14:paraId="15F98C2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（1）基于图书馆整合数据，采用数据挖掘技术，解析出多个维度的资源知识对象，如学者、主题、机构、期刊等。</w:t>
            </w:r>
          </w:p>
          <w:p w14:paraId="2181FA7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（2）对知识对象的发文年代发布、主要发文作者、主要发文机构、主要发文媒介等内容进行统计分析，提供对任意知识对象进行详尽的计量分析报告，并生成可视化数据图表。</w:t>
            </w:r>
          </w:p>
          <w:p w14:paraId="1272D30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（3）构建资源聚集关系网以多维知识对象数据模型为基础，使资源与每个知识对象紧密结合，便于快速找到高度相关的其他知识对象与资源。</w:t>
            </w:r>
          </w:p>
          <w:p w14:paraId="5A1713B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（4）以可视化图谱的方式呈现资源、知识对象间的关系网络，帮助用户深度发现和应用知识。</w:t>
            </w:r>
          </w:p>
          <w:p w14:paraId="425CB26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13.图书馆信箱</w:t>
            </w:r>
          </w:p>
          <w:p w14:paraId="79348EC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支持图书馆信箱功能，构建图书馆馆员与读者的反馈机制，搭建信息收集平台。支持读者对图书馆的资源、服务、环境以及图书馆馆员的服务态度和技能方面提出反馈意见。</w:t>
            </w:r>
          </w:p>
          <w:p w14:paraId="70564A1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14.图书荐购</w:t>
            </w:r>
          </w:p>
          <w:p w14:paraId="3964966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读者可以通过荐购功能提交感兴趣的图书和资源，可填写书目信息并提交到图书馆。图书馆通过审批，读者提交采购申请资料后，图书馆采购此图书并入库后，会在读者可查看到荐购过程结果。</w:t>
            </w:r>
          </w:p>
          <w:p w14:paraId="62EA4BE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（1）图书馆采访人员将收集的征订目录通过荐购系统发布到网络上，读者可通过本系统浏览征订目录，根据个性化的需求推荐自己所需的图书文献并提出采访意见，同时了解图书馆馆藏情况。</w:t>
            </w:r>
          </w:p>
          <w:p w14:paraId="516F958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（2）读者用户可以通过表单荐购功能提交自己感兴趣的图书信息，后台馆员收到荐购信息并通过审核后则可以加入到图书采购清单进行采购。</w:t>
            </w:r>
          </w:p>
          <w:p w14:paraId="40C7E1A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（3）支持通过《中国图书分类法》或按照自定义学科分类体系。按照树形结构展示给读者。对荐购目标不太清楚的读者可以通过树形菜单快速找到自己所需荐购图书。</w:t>
            </w:r>
          </w:p>
          <w:p w14:paraId="4F29022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（4）跟踪、记录读者的荐购行为。当读者要对某本书进行荐购时，可以提供馆藏和借还的相关数据。并同步在读者个人信息处显示荐购状态。</w:t>
            </w:r>
          </w:p>
          <w:p w14:paraId="7343C83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（5）定期统计图书的荐购信息，如统计每种图书被荐购次数，图书荐购人的类别和学科分布情况等。</w:t>
            </w:r>
          </w:p>
          <w:p w14:paraId="0A64B51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（6）和图书馆业务管理系统对接，确保信息、资料在图书馆业务管理系统中留存、统计。</w:t>
            </w:r>
          </w:p>
          <w:p w14:paraId="54849F7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15.图书捐赠</w:t>
            </w:r>
          </w:p>
          <w:p w14:paraId="7EE60C6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（1）图书馆可以通过本系统接收外界的资源捐赠，并对捐赠的资源进行管理，实现图书馆各个部门之间的共享。</w:t>
            </w:r>
          </w:p>
          <w:p w14:paraId="5A763DB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（2）系统支持捐赠资源的统一管理，包括但不限于图书、期刊、电子资源等。</w:t>
            </w:r>
          </w:p>
          <w:p w14:paraId="052A197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（3）具备捐赠信息的统计汇总功能，可根据捐赠者、接受捐赠者、确认者、来源、去向等指标来进行数据统计。</w:t>
            </w:r>
          </w:p>
          <w:p w14:paraId="3B1F42A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（4）系统建立捐赠展示功能，实时展示捐赠动态，积极宣传捐赠工作，扩大影响，以吸纳更多捐赠。</w:t>
            </w:r>
          </w:p>
          <w:p w14:paraId="394D778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（5）提供注册读者的捐赠信息查询功能，读者可以通过本系统查询捐赠资源的处理情况。</w:t>
            </w:r>
          </w:p>
          <w:p w14:paraId="6BF06FD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16.期刊导航</w:t>
            </w:r>
          </w:p>
          <w:p w14:paraId="01FF11C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期刊导航是按出版单元的方式对文献组织进行浏览。读者可以选择按分类分别浏览期刊信息，也可以通过字母顺序或者国内外核心收录来选择结果。支持选择查看纸本期刊或者电子期刊，通过对文献数据的计算分析，自动提取出每本期刊基本信息与期次列表信息，以出版时间进行排列展示。可查看每一期文献目录，也可按期刊封面列表进行排序。</w:t>
            </w:r>
          </w:p>
          <w:p w14:paraId="3159B93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17.活动日历</w:t>
            </w:r>
          </w:p>
          <w:p w14:paraId="5A23361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（1）系统支持馆员通过活动日历模块发布活动，包括活动封面、活动标题、报名时间、开始时间、报名人数限制及活动介绍等信息。</w:t>
            </w:r>
          </w:p>
          <w:p w14:paraId="13E0042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（2）读者用户可以通过活动日历查看每天的活动情况，选择活动点击报名和取消。</w:t>
            </w:r>
          </w:p>
          <w:p w14:paraId="140C0B3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（3）活动记录可在支持用户查看。</w:t>
            </w:r>
          </w:p>
          <w:p w14:paraId="2D15DAB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18.用户画像</w:t>
            </w:r>
          </w:p>
          <w:p w14:paraId="3A73C99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（1）收集并处理用户的基础属性信息：基本资料、学习成绩、社交关系、关注领域、阅读喜好等。</w:t>
            </w:r>
          </w:p>
          <w:p w14:paraId="0709610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（2）跟踪并记录用户在图书馆系统中的行为数据，包括但不限于检索、浏览、收藏、评论、下载、图书借阅、登录信息、访问频次等。</w:t>
            </w:r>
          </w:p>
          <w:p w14:paraId="0DDCF63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（3）根据具体的业务应用场景，设计并实施用户建模算法。将从已有的用户数据中挖掘深层次的、能触及用户需求的信息，形成一个标签化的用户模型。</w:t>
            </w:r>
          </w:p>
          <w:p w14:paraId="70DF0C5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（4）利用该用户模型，为用户打上特定标签，并针对各类标签用户群体展示用户的基本信息、标签、词云图、形象分析以及用户在图书馆所有行为数据。</w:t>
            </w:r>
          </w:p>
          <w:p w14:paraId="23F5F30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19.个人图书馆</w:t>
            </w:r>
          </w:p>
          <w:p w14:paraId="2D7A2DA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实现读者登录功能，如果读者已经登录，则可以直接进入个人图书馆主页。个人图书馆主页根据用户画像自动生成个性化内容显示。用户可看到他在所有服务中的统计数据，不限于当前借阅的数量、最近一个月的下载数、到馆数、登陆数、可用积分等数据。</w:t>
            </w:r>
          </w:p>
          <w:p w14:paraId="43359FF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（2）个人图书馆须支持与现有OPAC通过接口同步数据与操作，可查看与现有OPAC中相同的图书借出列表、借阅历史、预约记录等信息。</w:t>
            </w:r>
          </w:p>
          <w:p w14:paraId="7B472AE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（3）在提供OPAC借阅接口的基础上，支持读者在个人中心可操作图书续借功能。</w:t>
            </w:r>
          </w:p>
          <w:p w14:paraId="744523F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（4）支持读者查看自身检索历史，查看在门户下载的所有文献记录，可以在检索档案中同时保存检索条件与勾选指定的文献结果。</w:t>
            </w:r>
          </w:p>
          <w:p w14:paraId="1B81FBA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20.阅读报告</w:t>
            </w:r>
          </w:p>
          <w:p w14:paraId="64A0C4D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（1）收集读者在一年内阅读的所有书籍、文章、论文等阅读材料的数据，包括阅读时间、阅读方式、阅读数量等。</w:t>
            </w:r>
          </w:p>
          <w:p w14:paraId="06AC06E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（2）对收集的阅读数据进行分析，包括读者的阅读偏好、阅读习惯等。</w:t>
            </w:r>
          </w:p>
          <w:p w14:paraId="7E19822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（3）将阅读分析的结果以图表、数据等形式展示出来，包括阅读材料分类、阅读时间分布、阅读方式选择等。</w:t>
            </w:r>
          </w:p>
          <w:p w14:paraId="5898EB69">
            <w:pPr>
              <w:widowControl/>
              <w:jc w:val="left"/>
              <w:rPr>
                <w:rFonts w:hint="eastAsia" w:ascii="仿宋_GB2312" w:hAnsi="宋体" w:eastAsia="仿宋_GB2312"/>
                <w:kern w:val="0"/>
                <w:sz w:val="18"/>
                <w:szCs w:val="18"/>
              </w:rPr>
            </w:pPr>
            <w:r>
              <w:rPr>
                <w:rFonts w:ascii="仿宋_GB2312" w:hAnsi="宋体" w:eastAsia="仿宋_GB2312"/>
                <w:kern w:val="0"/>
                <w:sz w:val="18"/>
                <w:szCs w:val="18"/>
              </w:rPr>
              <w:t>2</w:t>
            </w:r>
            <w:r>
              <w:rPr>
                <w:rFonts w:hint="eastAsia" w:ascii="仿宋_GB2312" w:hAnsi="宋体" w:eastAsia="仿宋_GB2312"/>
                <w:kern w:val="0"/>
                <w:sz w:val="18"/>
                <w:szCs w:val="18"/>
              </w:rPr>
              <w:t>1</w:t>
            </w:r>
            <w:r>
              <w:rPr>
                <w:rFonts w:ascii="仿宋_GB2312" w:hAnsi="宋体" w:eastAsia="仿宋_GB2312"/>
                <w:kern w:val="0"/>
                <w:sz w:val="18"/>
                <w:szCs w:val="18"/>
              </w:rPr>
              <w:t>.系统要求</w:t>
            </w:r>
          </w:p>
          <w:p w14:paraId="1092B35A">
            <w:pPr>
              <w:widowControl/>
              <w:jc w:val="left"/>
              <w:rPr>
                <w:rFonts w:hint="eastAsia" w:ascii="仿宋_GB2312" w:hAnsi="宋体" w:eastAsia="仿宋_GB2312"/>
                <w:bCs/>
                <w:kern w:val="0"/>
                <w:sz w:val="18"/>
                <w:szCs w:val="18"/>
              </w:rPr>
            </w:pPr>
            <w:r>
              <w:rPr>
                <w:rFonts w:ascii="仿宋_GB2312" w:hAnsi="宋体" w:eastAsia="仿宋_GB2312"/>
                <w:bCs/>
                <w:kern w:val="0"/>
                <w:sz w:val="18"/>
                <w:szCs w:val="18"/>
              </w:rPr>
              <w:t>（1）所有系统均可基于国产操作系统或其它操作系统运行，数据库运行均基于《数据库产品名录》内的产品。</w:t>
            </w:r>
            <w:r>
              <w:rPr>
                <w:rFonts w:ascii="仿宋_GB2312" w:hAnsi="宋体" w:eastAsia="仿宋_GB2312"/>
                <w:bCs/>
                <w:kern w:val="0"/>
                <w:sz w:val="18"/>
                <w:szCs w:val="18"/>
              </w:rPr>
              <w:br w:type="textWrapping"/>
            </w:r>
            <w:r>
              <w:rPr>
                <w:rFonts w:ascii="仿宋_GB2312" w:hAnsi="宋体" w:eastAsia="仿宋_GB2312"/>
                <w:bCs/>
                <w:kern w:val="0"/>
                <w:sz w:val="18"/>
                <w:szCs w:val="18"/>
              </w:rPr>
              <w:t>（2）与</w:t>
            </w:r>
            <w:r>
              <w:rPr>
                <w:rFonts w:hint="eastAsia" w:ascii="仿宋_GB2312" w:hAnsi="宋体" w:eastAsia="仿宋_GB2312"/>
                <w:bCs/>
                <w:kern w:val="0"/>
                <w:sz w:val="18"/>
                <w:szCs w:val="18"/>
              </w:rPr>
              <w:t>大学</w:t>
            </w:r>
            <w:r>
              <w:rPr>
                <w:rFonts w:ascii="仿宋_GB2312" w:hAnsi="宋体" w:eastAsia="仿宋_GB2312"/>
                <w:bCs/>
                <w:kern w:val="0"/>
                <w:sz w:val="18"/>
                <w:szCs w:val="18"/>
              </w:rPr>
              <w:t>、图书馆其它系统能够实现接口对接，数据传输。同时预留接口，方便与其他系统或数据库进行集成，并且可以方便地进行升级和维护。</w:t>
            </w:r>
          </w:p>
        </w:tc>
        <w:tc>
          <w:tcPr>
            <w:tcW w:w="319"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66F743D5">
            <w:pPr>
              <w:widowControl/>
              <w:jc w:val="center"/>
              <w:rPr>
                <w:rFonts w:hint="eastAsia" w:ascii="仿宋_GB2312" w:hAnsi="宋体" w:eastAsia="仿宋_GB2312"/>
                <w:bCs/>
                <w:kern w:val="0"/>
                <w:sz w:val="18"/>
                <w:szCs w:val="18"/>
              </w:rPr>
            </w:pPr>
          </w:p>
        </w:tc>
        <w:tc>
          <w:tcPr>
            <w:tcW w:w="380" w:type="pct"/>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center"/>
          </w:tcPr>
          <w:p w14:paraId="36F22ECD">
            <w:pPr>
              <w:widowControl/>
              <w:jc w:val="center"/>
              <w:rPr>
                <w:rFonts w:hint="eastAsia" w:ascii="仿宋_GB2312" w:hAnsi="宋体" w:eastAsia="仿宋_GB2312"/>
                <w:bCs/>
                <w:kern w:val="0"/>
                <w:sz w:val="18"/>
                <w:szCs w:val="18"/>
              </w:rPr>
            </w:pPr>
          </w:p>
        </w:tc>
      </w:tr>
    </w:tbl>
    <w:p w14:paraId="32C0A1BA">
      <w:pPr>
        <w:pStyle w:val="3"/>
        <w:rPr>
          <w:rFonts w:hint="eastAsia" w:ascii="仿宋_GB2312" w:eastAsia="仿宋_GB2312" w:hAnsiTheme="minorEastAsia" w:cstheme="minorEastAsia"/>
          <w:b w:val="0"/>
          <w:bCs/>
          <w:sz w:val="24"/>
          <w:lang w:eastAsia="zh-Hans"/>
        </w:rPr>
      </w:pPr>
      <w:r>
        <w:rPr>
          <w:rFonts w:hint="eastAsia" w:ascii="仿宋_GB2312" w:eastAsia="仿宋_GB2312" w:hAnsiTheme="minorEastAsia" w:cstheme="minorEastAsia"/>
          <w:b w:val="0"/>
          <w:bCs/>
          <w:sz w:val="24"/>
          <w:lang w:eastAsia="zh-Hans"/>
        </w:rPr>
        <w:t>2.图书馆业务管理系统</w:t>
      </w:r>
    </w:p>
    <w:tbl>
      <w:tblPr>
        <w:tblStyle w:val="6"/>
        <w:tblW w:w="5000" w:type="pct"/>
        <w:jc w:val="center"/>
        <w:tblLayout w:type="autofit"/>
        <w:tblCellMar>
          <w:top w:w="0" w:type="dxa"/>
          <w:left w:w="0" w:type="dxa"/>
          <w:bottom w:w="0" w:type="dxa"/>
          <w:right w:w="0" w:type="dxa"/>
        </w:tblCellMar>
      </w:tblPr>
      <w:tblGrid>
        <w:gridCol w:w="732"/>
        <w:gridCol w:w="744"/>
        <w:gridCol w:w="10552"/>
        <w:gridCol w:w="892"/>
        <w:gridCol w:w="1063"/>
      </w:tblGrid>
      <w:tr w14:paraId="75946180">
        <w:tblPrEx>
          <w:tblCellMar>
            <w:top w:w="0" w:type="dxa"/>
            <w:left w:w="0" w:type="dxa"/>
            <w:bottom w:w="0" w:type="dxa"/>
            <w:right w:w="0" w:type="dxa"/>
          </w:tblCellMar>
        </w:tblPrEx>
        <w:trPr>
          <w:trHeight w:val="20" w:hRule="atLeast"/>
          <w:tblHeader/>
          <w:jc w:val="center"/>
        </w:trPr>
        <w:tc>
          <w:tcPr>
            <w:tcW w:w="262"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23093AF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266" w:type="pct"/>
            <w:tcBorders>
              <w:top w:val="single" w:color="auto" w:sz="8" w:space="0"/>
              <w:left w:val="single" w:color="auto" w:sz="8" w:space="0"/>
              <w:bottom w:val="single" w:color="auto" w:sz="4" w:space="0"/>
              <w:right w:val="single" w:color="000000" w:sz="8" w:space="0"/>
            </w:tcBorders>
            <w:shd w:val="clear" w:color="000000" w:fill="FFFFFF"/>
            <w:vAlign w:val="center"/>
          </w:tcPr>
          <w:p w14:paraId="342883EE">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773" w:type="pct"/>
            <w:tcBorders>
              <w:top w:val="single" w:color="auto" w:sz="8" w:space="0"/>
              <w:left w:val="single" w:color="auto" w:sz="8" w:space="0"/>
              <w:bottom w:val="single" w:color="auto" w:sz="4" w:space="0"/>
              <w:right w:val="single" w:color="000000" w:sz="8" w:space="0"/>
            </w:tcBorders>
            <w:shd w:val="clear" w:color="000000" w:fill="FFFFFF"/>
            <w:vAlign w:val="center"/>
          </w:tcPr>
          <w:p w14:paraId="115A05A6">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319" w:type="pct"/>
            <w:tcBorders>
              <w:top w:val="single" w:color="auto" w:sz="8" w:space="0"/>
              <w:left w:val="single" w:color="auto" w:sz="8" w:space="0"/>
              <w:bottom w:val="single" w:color="auto" w:sz="4" w:space="0"/>
              <w:right w:val="single" w:color="000000" w:sz="8" w:space="0"/>
            </w:tcBorders>
            <w:shd w:val="clear" w:color="000000" w:fill="FFFFFF"/>
            <w:vAlign w:val="center"/>
          </w:tcPr>
          <w:p w14:paraId="45977005">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380" w:type="pct"/>
            <w:tcBorders>
              <w:top w:val="single" w:color="auto" w:sz="8" w:space="0"/>
              <w:left w:val="single" w:color="auto" w:sz="8" w:space="0"/>
              <w:bottom w:val="single" w:color="auto" w:sz="4" w:space="0"/>
              <w:right w:val="single" w:color="000000" w:sz="8" w:space="0"/>
            </w:tcBorders>
            <w:shd w:val="clear" w:color="000000" w:fill="FFFFFF"/>
            <w:vAlign w:val="center"/>
          </w:tcPr>
          <w:p w14:paraId="5DB14AED">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签字确认</w:t>
            </w:r>
          </w:p>
        </w:tc>
      </w:tr>
      <w:tr w14:paraId="64F7DEC5">
        <w:tblPrEx>
          <w:tblCellMar>
            <w:top w:w="0" w:type="dxa"/>
            <w:left w:w="0" w:type="dxa"/>
            <w:bottom w:w="0" w:type="dxa"/>
            <w:right w:w="0" w:type="dxa"/>
          </w:tblCellMar>
        </w:tblPrEx>
        <w:trPr>
          <w:trHeight w:val="20" w:hRule="atLeast"/>
          <w:jc w:val="center"/>
        </w:trPr>
        <w:tc>
          <w:tcPr>
            <w:tcW w:w="262" w:type="pct"/>
            <w:tcBorders>
              <w:top w:val="nil"/>
              <w:left w:val="single" w:color="auto" w:sz="8" w:space="0"/>
              <w:bottom w:val="single" w:color="auto" w:sz="4" w:space="0"/>
              <w:right w:val="single" w:color="auto" w:sz="4" w:space="0"/>
            </w:tcBorders>
            <w:shd w:val="clear" w:color="000000" w:fill="FFFFFF"/>
            <w:tcMar>
              <w:top w:w="15" w:type="dxa"/>
              <w:left w:w="15" w:type="dxa"/>
              <w:bottom w:w="0" w:type="dxa"/>
              <w:right w:w="15" w:type="dxa"/>
            </w:tcMar>
            <w:vAlign w:val="center"/>
          </w:tcPr>
          <w:p w14:paraId="586D71EC">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266"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79B83F7A">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图书馆业务管理系统</w:t>
            </w:r>
          </w:p>
        </w:tc>
        <w:tc>
          <w:tcPr>
            <w:tcW w:w="3773"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2C6815D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1.系统要求</w:t>
            </w:r>
          </w:p>
          <w:p w14:paraId="301BCAE1">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（1）采用</w:t>
            </w:r>
            <w:r>
              <w:rPr>
                <w:rFonts w:ascii="仿宋_GB2312" w:hAnsi="宋体" w:eastAsia="仿宋_GB2312"/>
                <w:bCs/>
                <w:sz w:val="18"/>
                <w:szCs w:val="18"/>
              </w:rPr>
              <w:t>国产</w:t>
            </w:r>
            <w:r>
              <w:rPr>
                <w:rFonts w:hint="eastAsia" w:ascii="仿宋_GB2312" w:hAnsi="宋体" w:eastAsia="仿宋_GB2312"/>
                <w:bCs/>
                <w:sz w:val="18"/>
                <w:szCs w:val="18"/>
              </w:rPr>
              <w:t>数据库，采用基于大数据的分布式存储模式，扩展性强，可靠性高。</w:t>
            </w:r>
          </w:p>
          <w:p w14:paraId="3542DC6D">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（2）</w:t>
            </w:r>
            <w:r>
              <w:rPr>
                <w:rFonts w:ascii="仿宋_GB2312" w:hAnsi="宋体" w:eastAsia="仿宋_GB2312"/>
                <w:bCs/>
                <w:sz w:val="18"/>
                <w:szCs w:val="18"/>
              </w:rPr>
              <w:t>与</w:t>
            </w:r>
            <w:r>
              <w:rPr>
                <w:rFonts w:hint="eastAsia" w:ascii="仿宋_GB2312" w:hAnsi="宋体" w:eastAsia="仿宋_GB2312"/>
                <w:bCs/>
                <w:sz w:val="18"/>
                <w:szCs w:val="18"/>
              </w:rPr>
              <w:t>大学</w:t>
            </w:r>
            <w:r>
              <w:rPr>
                <w:rFonts w:ascii="仿宋_GB2312" w:hAnsi="宋体" w:eastAsia="仿宋_GB2312"/>
                <w:bCs/>
                <w:sz w:val="18"/>
                <w:szCs w:val="18"/>
              </w:rPr>
              <w:t>、图书馆其它系统能够实现接口对接，数据传输。同时预留接口，方便与其他系统或数据库进行集成，并且可以方便地进行升级和维护。</w:t>
            </w:r>
          </w:p>
          <w:p w14:paraId="610F0E66">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（3）具备分布式、异步集群索引服务，可以提供强大的检索性能。</w:t>
            </w:r>
          </w:p>
          <w:p w14:paraId="19A83FDD">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（4）可完成现有业务管理系统所有的数据导入，数据转化率≥99%。</w:t>
            </w:r>
          </w:p>
          <w:p w14:paraId="66A6CED5">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（5）可完成现有RFID系统的数据对接使用，或完成数据导入，数据转化率≥99%。</w:t>
            </w:r>
          </w:p>
          <w:p w14:paraId="2859C182">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（6）可实现总分馆、异地馆的功能部署。</w:t>
            </w:r>
          </w:p>
          <w:p w14:paraId="166162E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2.图书采选</w:t>
            </w:r>
          </w:p>
          <w:p w14:paraId="311D21F9">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（1）支持导入外部征订数据，支持MARC和EXCEL格式数据的导入。</w:t>
            </w:r>
          </w:p>
          <w:p w14:paraId="45AD1B4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（2）支持导入模板的增加，修改和删除，支持按照模板进行征订数据的导入。</w:t>
            </w:r>
          </w:p>
          <w:p w14:paraId="1CFD74FA">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（3）支持外部数据字段和MARC字段智能识别，可无需设定模板直接智能转入。</w:t>
            </w:r>
          </w:p>
          <w:p w14:paraId="427D550A">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（4）支持导入任务管理，支持导入数据的完成情况的汇总和明细查看。</w:t>
            </w:r>
          </w:p>
          <w:p w14:paraId="5D343FA4">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（5）支持导入查重，可自定义查重条件，可与馆藏数据进行关联。</w:t>
            </w:r>
          </w:p>
          <w:p w14:paraId="387A5CB5">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（6）可在导入时修改已生成的模板，也可在导入时通过外部文件实时生成新的模板。</w:t>
            </w:r>
          </w:p>
          <w:p w14:paraId="49435555">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（7）可直接编辑征订数据和征订MARC数据。</w:t>
            </w:r>
          </w:p>
          <w:p w14:paraId="372D85F5">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（8）支持复合高级检索，支持与、或、非的条件组合，支持前方匹配，任意匹配，完全匹配模式。</w:t>
            </w:r>
          </w:p>
          <w:p w14:paraId="6878C6F1">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（9）提供黑名单管理功能，可手工增加黑名单，批量导入黑名单，通过黑名单进行导入过滤或者征订筛选。</w:t>
            </w:r>
          </w:p>
          <w:p w14:paraId="7C74FB91">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（10）可通过供应商、征订目录、创建人、出版年、语种、币种、文献类型、载体类型、出版频率</w:t>
            </w:r>
            <w:bookmarkStart w:id="0" w:name="OLE_LINK11"/>
            <w:r>
              <w:rPr>
                <w:rFonts w:hint="eastAsia" w:ascii="仿宋_GB2312" w:hAnsi="宋体" w:eastAsia="仿宋_GB2312"/>
                <w:bCs/>
                <w:sz w:val="18"/>
                <w:szCs w:val="18"/>
              </w:rPr>
              <w:t>、征订有效期、价格区间、采购指数区间、订购状态、馆藏类型等聚类条件进行数据筛选。</w:t>
            </w:r>
            <w:bookmarkEnd w:id="0"/>
          </w:p>
          <w:p w14:paraId="2EE3D8B9">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（11）可根据设置的重要学科、重要出版社、重要责任者、是否存在荐购等多种条件进行组合检索。</w:t>
            </w:r>
          </w:p>
          <w:p w14:paraId="75FDEC2C">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（12）可根据选择批量导出征订明细。</w:t>
            </w:r>
          </w:p>
          <w:p w14:paraId="295A5251">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（13）可设定多个订户模板，可根据模板自动生成订户信息。</w:t>
            </w:r>
          </w:p>
          <w:p w14:paraId="0914AA7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（14）可自定义征订管理页面展示内容。</w:t>
            </w:r>
          </w:p>
          <w:p w14:paraId="78DD7F08">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（15）提供采选数据筛选功能，可自定义多个常用筛选规则。自定义筛选规则的筛选条件包含分类、出版社、责任者、题名、价格、重要出版社、重要责任者等，提供题名、责任者的条件匹配。</w:t>
            </w:r>
          </w:p>
          <w:p w14:paraId="645F5F3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（16）提供根据筛选规则进行快速筛选功能，可多个筛选规则复合筛选，提供与或匹配。</w:t>
            </w:r>
          </w:p>
          <w:p w14:paraId="39D5F224">
            <w:pPr>
              <w:widowControl/>
              <w:jc w:val="left"/>
              <w:rPr>
                <w:rFonts w:hint="eastAsia" w:ascii="仿宋_GB2312" w:hAnsi="宋体" w:eastAsia="仿宋_GB2312"/>
                <w:bCs/>
                <w:sz w:val="18"/>
                <w:szCs w:val="18"/>
              </w:rPr>
            </w:pPr>
            <w:r>
              <w:rPr>
                <w:rFonts w:hint="eastAsia" w:ascii="仿宋_GB2312" w:hAnsi="宋体" w:eastAsia="仿宋_GB2312"/>
                <w:bCs/>
                <w:sz w:val="18"/>
                <w:szCs w:val="18"/>
              </w:rPr>
              <w:t>（17）支持选择数据或者选择目录模式的批量实时查重，查重结果实时返回显示。</w:t>
            </w:r>
          </w:p>
          <w:p w14:paraId="5FB72B63">
            <w:pPr>
              <w:widowControl/>
              <w:jc w:val="left"/>
              <w:rPr>
                <w:rFonts w:hint="eastAsia" w:ascii="仿宋_GB2312" w:hAnsi="宋体" w:eastAsia="仿宋_GB2312"/>
                <w:bCs/>
                <w:sz w:val="18"/>
                <w:szCs w:val="18"/>
              </w:rPr>
            </w:pPr>
            <w:r>
              <w:rPr>
                <w:rFonts w:hint="eastAsia" w:ascii="仿宋_GB2312" w:hAnsi="宋体" w:eastAsia="仿宋_GB2312"/>
                <w:bCs/>
                <w:sz w:val="18"/>
                <w:szCs w:val="18"/>
              </w:rPr>
              <w:t>（18）支持馆藏数据批量查重，可限定分馆或者馆藏地，可选择多个馆藏地或者和分馆进行查重。支持征订数据查重，可匹配全部征订数据、书商数据、目录数据的不同模式进行批量实时查重。可批量导出选择的各种查重结果数据。</w:t>
            </w:r>
          </w:p>
          <w:p w14:paraId="11086CC7">
            <w:pPr>
              <w:widowControl/>
              <w:jc w:val="left"/>
              <w:rPr>
                <w:rFonts w:hint="eastAsia" w:ascii="仿宋_GB2312" w:hAnsi="宋体" w:eastAsia="仿宋_GB2312"/>
                <w:bCs/>
                <w:sz w:val="18"/>
                <w:szCs w:val="18"/>
              </w:rPr>
            </w:pPr>
            <w:r>
              <w:rPr>
                <w:rFonts w:hint="eastAsia" w:ascii="仿宋_GB2312" w:hAnsi="宋体" w:eastAsia="仿宋_GB2312"/>
                <w:bCs/>
                <w:sz w:val="18"/>
                <w:szCs w:val="18"/>
              </w:rPr>
              <w:t>（19）支持直接订购模式，可手工增加数据或者通过查重使用已有数据，可获取外部MARC。</w:t>
            </w:r>
          </w:p>
          <w:p w14:paraId="0B41D2C8">
            <w:pPr>
              <w:widowControl/>
              <w:jc w:val="left"/>
              <w:rPr>
                <w:rFonts w:hint="eastAsia" w:ascii="仿宋_GB2312" w:hAnsi="宋体" w:eastAsia="仿宋_GB2312"/>
                <w:bCs/>
                <w:sz w:val="18"/>
                <w:szCs w:val="18"/>
              </w:rPr>
            </w:pPr>
            <w:r>
              <w:rPr>
                <w:rFonts w:hint="eastAsia" w:ascii="仿宋_GB2312" w:hAnsi="宋体" w:eastAsia="仿宋_GB2312"/>
                <w:bCs/>
                <w:sz w:val="18"/>
                <w:szCs w:val="18"/>
              </w:rPr>
              <w:t>（20）提供完善的统一的经费管理，具备完整的经费周期管理，具备完整的经费出入账和使用管理。</w:t>
            </w:r>
          </w:p>
          <w:p w14:paraId="773FF6E1">
            <w:pPr>
              <w:widowControl/>
              <w:jc w:val="left"/>
              <w:rPr>
                <w:rFonts w:hint="eastAsia" w:ascii="仿宋_GB2312" w:hAnsi="宋体" w:eastAsia="仿宋_GB2312"/>
                <w:bCs/>
                <w:sz w:val="18"/>
                <w:szCs w:val="18"/>
              </w:rPr>
            </w:pPr>
            <w:r>
              <w:rPr>
                <w:rFonts w:hint="eastAsia" w:ascii="仿宋_GB2312" w:hAnsi="宋体" w:eastAsia="仿宋_GB2312"/>
                <w:bCs/>
                <w:sz w:val="18"/>
                <w:szCs w:val="18"/>
              </w:rPr>
              <w:t>（21）支持外部文件直接生成订购功能，支持EXCEL和MARC格式，可通过直接导入外部数据生成订购记录。</w:t>
            </w:r>
          </w:p>
          <w:p w14:paraId="4BE20A7A">
            <w:pPr>
              <w:widowControl/>
              <w:jc w:val="left"/>
              <w:rPr>
                <w:rFonts w:hint="eastAsia" w:ascii="仿宋_GB2312" w:hAnsi="宋体" w:eastAsia="仿宋_GB2312"/>
                <w:bCs/>
                <w:sz w:val="18"/>
                <w:szCs w:val="18"/>
              </w:rPr>
            </w:pPr>
            <w:r>
              <w:rPr>
                <w:rFonts w:hint="eastAsia" w:ascii="仿宋_GB2312" w:hAnsi="宋体" w:eastAsia="仿宋_GB2312"/>
                <w:bCs/>
                <w:sz w:val="18"/>
                <w:szCs w:val="18"/>
              </w:rPr>
              <w:t>（2</w:t>
            </w:r>
            <w:r>
              <w:rPr>
                <w:rFonts w:ascii="仿宋_GB2312" w:hAnsi="宋体" w:eastAsia="仿宋_GB2312"/>
                <w:bCs/>
                <w:sz w:val="18"/>
                <w:szCs w:val="18"/>
              </w:rPr>
              <w:t>2</w:t>
            </w:r>
            <w:r>
              <w:rPr>
                <w:rFonts w:hint="eastAsia" w:ascii="仿宋_GB2312" w:hAnsi="宋体" w:eastAsia="仿宋_GB2312"/>
                <w:bCs/>
                <w:sz w:val="18"/>
                <w:szCs w:val="18"/>
              </w:rPr>
              <w:t>）支持批量发订，打印订单，输出订单文件，发送订单邮件模式。</w:t>
            </w:r>
          </w:p>
          <w:p w14:paraId="39B8BC5E">
            <w:pPr>
              <w:widowControl/>
              <w:jc w:val="left"/>
              <w:rPr>
                <w:rFonts w:hint="eastAsia" w:ascii="仿宋_GB2312" w:hAnsi="宋体" w:eastAsia="仿宋_GB2312"/>
                <w:bCs/>
                <w:sz w:val="18"/>
                <w:szCs w:val="18"/>
              </w:rPr>
            </w:pPr>
            <w:r>
              <w:rPr>
                <w:rFonts w:hint="eastAsia" w:ascii="仿宋_GB2312" w:hAnsi="宋体" w:eastAsia="仿宋_GB2312"/>
                <w:bCs/>
                <w:sz w:val="18"/>
                <w:szCs w:val="18"/>
              </w:rPr>
              <w:t>（2</w:t>
            </w:r>
            <w:r>
              <w:rPr>
                <w:rFonts w:ascii="仿宋_GB2312" w:hAnsi="宋体" w:eastAsia="仿宋_GB2312"/>
                <w:bCs/>
                <w:sz w:val="18"/>
                <w:szCs w:val="18"/>
              </w:rPr>
              <w:t>3</w:t>
            </w:r>
            <w:r>
              <w:rPr>
                <w:rFonts w:hint="eastAsia" w:ascii="仿宋_GB2312" w:hAnsi="宋体" w:eastAsia="仿宋_GB2312"/>
                <w:bCs/>
                <w:sz w:val="18"/>
                <w:szCs w:val="18"/>
              </w:rPr>
              <w:t>）支持多个订购目录的同时发订功能。</w:t>
            </w:r>
          </w:p>
          <w:p w14:paraId="12D38364">
            <w:pPr>
              <w:widowControl/>
              <w:jc w:val="left"/>
              <w:rPr>
                <w:rFonts w:hint="eastAsia" w:ascii="仿宋_GB2312" w:hAnsi="宋体" w:eastAsia="仿宋_GB2312"/>
                <w:bCs/>
                <w:sz w:val="18"/>
                <w:szCs w:val="18"/>
              </w:rPr>
            </w:pPr>
            <w:r>
              <w:rPr>
                <w:rFonts w:hint="eastAsia" w:ascii="仿宋_GB2312" w:hAnsi="宋体" w:eastAsia="仿宋_GB2312"/>
                <w:bCs/>
                <w:sz w:val="18"/>
                <w:szCs w:val="18"/>
              </w:rPr>
              <w:t>（2</w:t>
            </w:r>
            <w:r>
              <w:rPr>
                <w:rFonts w:ascii="仿宋_GB2312" w:hAnsi="宋体" w:eastAsia="仿宋_GB2312"/>
                <w:bCs/>
                <w:sz w:val="18"/>
                <w:szCs w:val="18"/>
              </w:rPr>
              <w:t>4</w:t>
            </w:r>
            <w:r>
              <w:rPr>
                <w:rFonts w:hint="eastAsia" w:ascii="仿宋_GB2312" w:hAnsi="宋体" w:eastAsia="仿宋_GB2312"/>
                <w:bCs/>
                <w:sz w:val="18"/>
                <w:szCs w:val="18"/>
              </w:rPr>
              <w:t>）支持催缺，退订和改订功能。提供多种条件的复合催缺查询，提供批量催缺，批量退订，批量取消退订，批量改订，批量删除，批量选择退订记录等功能。并提供催缺单和退订单的打印输出功能。</w:t>
            </w:r>
          </w:p>
          <w:p w14:paraId="576454BD">
            <w:pPr>
              <w:widowControl/>
              <w:jc w:val="left"/>
              <w:rPr>
                <w:rFonts w:hint="eastAsia" w:ascii="仿宋_GB2312" w:hAnsi="宋体" w:eastAsia="仿宋_GB2312"/>
                <w:bCs/>
                <w:sz w:val="18"/>
                <w:szCs w:val="18"/>
              </w:rPr>
            </w:pPr>
            <w:r>
              <w:rPr>
                <w:rFonts w:hint="eastAsia" w:ascii="仿宋_GB2312" w:hAnsi="宋体" w:eastAsia="仿宋_GB2312"/>
                <w:bCs/>
                <w:sz w:val="18"/>
                <w:szCs w:val="18"/>
              </w:rPr>
              <w:t>（2</w:t>
            </w:r>
            <w:r>
              <w:rPr>
                <w:rFonts w:ascii="仿宋_GB2312" w:hAnsi="宋体" w:eastAsia="仿宋_GB2312"/>
                <w:bCs/>
                <w:sz w:val="18"/>
                <w:szCs w:val="18"/>
              </w:rPr>
              <w:t>5</w:t>
            </w:r>
            <w:r>
              <w:rPr>
                <w:rFonts w:hint="eastAsia" w:ascii="仿宋_GB2312" w:hAnsi="宋体" w:eastAsia="仿宋_GB2312"/>
                <w:bCs/>
                <w:sz w:val="18"/>
                <w:szCs w:val="18"/>
              </w:rPr>
              <w:t>）提供批量增加，修改，删除供应商数据功能。</w:t>
            </w:r>
          </w:p>
          <w:p w14:paraId="3F13C674">
            <w:pPr>
              <w:widowControl/>
              <w:jc w:val="left"/>
              <w:rPr>
                <w:rFonts w:hint="eastAsia" w:ascii="仿宋_GB2312" w:hAnsi="宋体" w:eastAsia="仿宋_GB2312"/>
                <w:bCs/>
                <w:sz w:val="18"/>
                <w:szCs w:val="18"/>
              </w:rPr>
            </w:pPr>
            <w:r>
              <w:rPr>
                <w:rFonts w:hint="eastAsia" w:ascii="仿宋_GB2312" w:hAnsi="宋体" w:eastAsia="仿宋_GB2312"/>
                <w:bCs/>
                <w:sz w:val="18"/>
                <w:szCs w:val="18"/>
              </w:rPr>
              <w:t>（26）提供审批功能，可针对征订目录，订购目录进行审批，提供多级审批功能。可设置多个审批组和反馈组，分别设置每一级审批人员和反馈人员。可对征订和订购目录进行审批，单条或批量审批，查看审批明细、批次审批状态和汇总信息。</w:t>
            </w:r>
          </w:p>
          <w:p w14:paraId="74B12A47">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（30）支持订单的实时生成，并可实时查看已订购数据。</w:t>
            </w:r>
          </w:p>
          <w:p w14:paraId="4BAFD356">
            <w:pPr>
              <w:widowControl/>
              <w:jc w:val="left"/>
              <w:rPr>
                <w:rFonts w:hint="eastAsia" w:ascii="仿宋_GB2312" w:hAnsi="宋体" w:eastAsia="仿宋_GB2312"/>
                <w:bCs/>
                <w:sz w:val="18"/>
                <w:szCs w:val="18"/>
              </w:rPr>
            </w:pPr>
            <w:r>
              <w:rPr>
                <w:rFonts w:hint="eastAsia" w:ascii="仿宋_GB2312" w:hAnsi="宋体" w:eastAsia="仿宋_GB2312"/>
                <w:bCs/>
                <w:sz w:val="18"/>
                <w:szCs w:val="18"/>
              </w:rPr>
              <w:t>（31）支持实时查重功能，可查看重复馆藏和订购信息。</w:t>
            </w:r>
          </w:p>
          <w:p w14:paraId="334B79A9">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（33）荐购目录可设置生效和失效时间。</w:t>
            </w:r>
          </w:p>
          <w:p w14:paraId="7187260D">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（34）可根据时间，订购状态，处理状态等条件快速筛选结果。</w:t>
            </w:r>
          </w:p>
          <w:p w14:paraId="68CBC2DF">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（35）可批量实时查重，并对查重结果进行多种批量处理，包括订购，不订购，删除等。</w:t>
            </w:r>
          </w:p>
          <w:p w14:paraId="6BFFD27B">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（36）针对选择的荐购记录订购，可对读者进行单独或者不订购回复。</w:t>
            </w:r>
          </w:p>
          <w:p w14:paraId="503AA0FC">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（37）查重后，可对重复的订购记录进行批量关联订购或者批量取消关联订购。</w:t>
            </w:r>
          </w:p>
          <w:p w14:paraId="743EB764">
            <w:pPr>
              <w:widowControl/>
              <w:jc w:val="left"/>
              <w:rPr>
                <w:rFonts w:hint="eastAsia" w:ascii="仿宋_GB2312" w:hAnsi="宋体" w:eastAsia="仿宋_GB2312"/>
                <w:bCs/>
                <w:sz w:val="18"/>
                <w:szCs w:val="18"/>
              </w:rPr>
            </w:pPr>
            <w:r>
              <w:rPr>
                <w:rFonts w:hint="eastAsia" w:ascii="仿宋_GB2312" w:hAnsi="宋体" w:eastAsia="仿宋_GB2312"/>
                <w:bCs/>
                <w:sz w:val="18"/>
                <w:szCs w:val="18"/>
              </w:rPr>
              <w:t>（38）荐购信息状态根据业务工作实时更新，包括订购，退订，改订，入藏等，实时向荐购读者推送处理结果。</w:t>
            </w:r>
          </w:p>
          <w:p w14:paraId="250E5AFC">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（39）支持订购数据验收，支持多卷册数据的验收处理，支持一个订单多次验收的数据处理。</w:t>
            </w:r>
          </w:p>
          <w:p w14:paraId="32C53F81">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（40）支持非订购验收，通过已有元数据或者新增元数据直接生成验收数据。支持快速验收功能，扫码直接验收，根据配置自动生成验收和财产信息。</w:t>
            </w:r>
          </w:p>
          <w:p w14:paraId="5421F60E">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（41）支持供应商加工数据批量验收功能，支持验收数据，MARC数据，索书号和馆藏数据的自动生成，支持订购数据的匹配和更新，可更新订购MARC和价格。</w:t>
            </w:r>
          </w:p>
          <w:p w14:paraId="35E947C9">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（42）支持元数据的批量覆盖和更新功能，可根据外部文件直接批量覆盖原有MARC数据，可根据验收目录或者订购目录来覆盖原有元数据，可更新订购MARC的价格。</w:t>
            </w:r>
          </w:p>
          <w:p w14:paraId="5173B58C">
            <w:pPr>
              <w:widowControl/>
              <w:jc w:val="left"/>
              <w:rPr>
                <w:rFonts w:hint="eastAsia" w:ascii="仿宋_GB2312" w:hAnsi="宋体" w:eastAsia="仿宋_GB2312"/>
                <w:bCs/>
                <w:sz w:val="18"/>
                <w:szCs w:val="18"/>
              </w:rPr>
            </w:pPr>
            <w:r>
              <w:rPr>
                <w:rFonts w:hint="eastAsia" w:ascii="仿宋_GB2312" w:hAnsi="宋体" w:eastAsia="仿宋_GB2312"/>
                <w:bCs/>
                <w:sz w:val="18"/>
                <w:szCs w:val="18"/>
              </w:rPr>
              <w:t>3.馆藏管理</w:t>
            </w:r>
          </w:p>
          <w:p w14:paraId="5F08994B">
            <w:pPr>
              <w:widowControl/>
              <w:jc w:val="left"/>
              <w:rPr>
                <w:rFonts w:hint="eastAsia" w:ascii="仿宋_GB2312" w:hAnsi="宋体" w:eastAsia="仿宋_GB2312"/>
                <w:bCs/>
                <w:sz w:val="18"/>
                <w:szCs w:val="18"/>
              </w:rPr>
            </w:pPr>
            <w:r>
              <w:rPr>
                <w:rFonts w:hint="eastAsia" w:ascii="仿宋_GB2312" w:hAnsi="宋体" w:eastAsia="仿宋_GB2312"/>
                <w:bCs/>
                <w:sz w:val="18"/>
                <w:szCs w:val="18"/>
              </w:rPr>
              <w:t>（1）馆藏管理涵盖纸本图书、期刊。</w:t>
            </w:r>
          </w:p>
          <w:p w14:paraId="4B2409D4">
            <w:pPr>
              <w:widowControl/>
              <w:tabs>
                <w:tab w:val="left" w:pos="312"/>
              </w:tabs>
              <w:jc w:val="left"/>
              <w:rPr>
                <w:rFonts w:hint="eastAsia" w:ascii="仿宋_GB2312" w:hAnsi="宋体" w:eastAsia="仿宋_GB2312"/>
                <w:bCs/>
                <w:sz w:val="18"/>
                <w:szCs w:val="18"/>
              </w:rPr>
            </w:pPr>
            <w:r>
              <w:rPr>
                <w:rFonts w:hint="eastAsia" w:ascii="仿宋_GB2312" w:hAnsi="宋体" w:eastAsia="仿宋_GB2312"/>
                <w:bCs/>
                <w:sz w:val="18"/>
                <w:szCs w:val="18"/>
              </w:rPr>
              <w:t>（2）可对专题库设置标签，所属学科信息。</w:t>
            </w:r>
          </w:p>
          <w:p w14:paraId="4099EC8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（3）可自定义书单信息，可对书单设置封面，详细说明信息等。</w:t>
            </w:r>
          </w:p>
          <w:p w14:paraId="6C148B3A">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kern w:val="0"/>
                <w:sz w:val="18"/>
                <w:szCs w:val="18"/>
              </w:rPr>
              <w:t>（4）可通过统一检索系统推荐和发布书单信息。</w:t>
            </w:r>
          </w:p>
          <w:p w14:paraId="6B2E1E2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（5）可对书单设置标签信息。</w:t>
            </w:r>
          </w:p>
          <w:p w14:paraId="63471E79">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（6）可针对馆藏资源进行评论或回复，审核发布或者批量取消发布书评。</w:t>
            </w:r>
          </w:p>
          <w:p w14:paraId="3A68E83E">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（7）与图书馆元数据资源池能够实现接口对接，数据传输。</w:t>
            </w:r>
          </w:p>
          <w:p w14:paraId="65A255A8">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4.资源管理</w:t>
            </w:r>
          </w:p>
          <w:p w14:paraId="1FBD04A5">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（1）支持GBK、UNICODE字符集，支持UTF-8编码等。</w:t>
            </w:r>
          </w:p>
          <w:p w14:paraId="3167F606">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（2）支持CNMARC、USMARC、RDA、DC等格式的元数据编辑。</w:t>
            </w:r>
          </w:p>
          <w:p w14:paraId="7C5613FA">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（3）提供字段的增加，修改，删除功能，支持字段的排序，选择，复制，剪切，粘贴功能。</w:t>
            </w:r>
          </w:p>
          <w:p w14:paraId="0D4948D2">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（4）提供简单编目功能，提供简单编目模板配置功能。支持MARC字段规则帮助提示，支持MARC审校结果提示功能。</w:t>
            </w:r>
          </w:p>
          <w:p w14:paraId="4F7B6273">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（5）支持MARC内容的简繁互转。</w:t>
            </w:r>
          </w:p>
          <w:p w14:paraId="4B7CBE87">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（6）支持元数据锁定功能。</w:t>
            </w:r>
          </w:p>
          <w:p w14:paraId="0BA61857">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（7）提供分类号主题词的互相生成功能。</w:t>
            </w:r>
          </w:p>
          <w:p w14:paraId="7E00662B">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（8）提供双屏编辑功能，针对查重或检索结果可快速实现字段复制，MARC的合并和复制等功能。</w:t>
            </w:r>
          </w:p>
          <w:p w14:paraId="705C7209">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（9）支持高级检索功能，可多条件，多逻辑组配检索。</w:t>
            </w:r>
          </w:p>
          <w:p w14:paraId="258FAB32">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（10）可根据多种条件导出MARC数据，可自定义输出格式和文件编码，可导出EXCEL格式或ISO格式数据。</w:t>
            </w:r>
          </w:p>
          <w:p w14:paraId="13A7749C">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（11）支持多种字段内容的自动生成。</w:t>
            </w:r>
          </w:p>
          <w:p w14:paraId="1A31372D">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（12）提供外部元数据文件浏览和编辑功能。</w:t>
            </w:r>
          </w:p>
          <w:p w14:paraId="6D1E7D28">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（13）提供套路MARC转入功能。</w:t>
            </w:r>
          </w:p>
          <w:p w14:paraId="45B45022">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（14）支持本地库，套路库，多库的同时并发检索和返回数据。</w:t>
            </w:r>
          </w:p>
          <w:p w14:paraId="3172F1B5">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（15）支持关联检索，进入下一条数据编辑页面的同时可自动检索本地库，套路库和多站点数据。</w:t>
            </w:r>
          </w:p>
          <w:p w14:paraId="21AF7FED">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（16）支持网页MARC获取，支持从网站上直接获取完整MARC数据。</w:t>
            </w:r>
          </w:p>
          <w:p w14:paraId="64CB7266">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（17）支持对网络数据获取MARC设置原MARC保留字段，可以设定来源MARC过滤字段。</w:t>
            </w:r>
          </w:p>
          <w:p w14:paraId="6BF0A1F2">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（18）支持种次号、著者号、卡特号、四角号码等多种索书号的自动生成,支持著者号复分的自动生成。</w:t>
            </w:r>
          </w:p>
          <w:p w14:paraId="0981BA87">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（19）支持纸本资源的统一财产管理。</w:t>
            </w:r>
          </w:p>
          <w:p w14:paraId="50DD7906">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（20）书标打印模板可自定义设置。</w:t>
            </w:r>
          </w:p>
          <w:p w14:paraId="5B78CCEB">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（21）可按照批次，工作集，单条记录等多种途径打印书标。</w:t>
            </w:r>
          </w:p>
          <w:p w14:paraId="445A493C">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（22）支持快速生成复本功能，可以批量新增多个复本。</w:t>
            </w:r>
          </w:p>
          <w:p w14:paraId="56B851EC">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（23）支持复本编辑窗口的索书号生成和管理功能。</w:t>
            </w:r>
          </w:p>
          <w:p w14:paraId="782B9D61">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sz w:val="18"/>
                <w:szCs w:val="18"/>
              </w:rPr>
              <w:t>5.</w:t>
            </w:r>
            <w:r>
              <w:rPr>
                <w:rFonts w:hint="eastAsia" w:ascii="仿宋_GB2312" w:hAnsi="宋体" w:eastAsia="仿宋_GB2312" w:cs="宋体"/>
                <w:bCs/>
                <w:kern w:val="0"/>
                <w:sz w:val="18"/>
                <w:szCs w:val="18"/>
              </w:rPr>
              <w:t>典藏管理</w:t>
            </w:r>
          </w:p>
          <w:p w14:paraId="3C41797D">
            <w:pPr>
              <w:widowControl/>
              <w:tabs>
                <w:tab w:val="left" w:pos="312"/>
              </w:tabs>
              <w:jc w:val="left"/>
              <w:rPr>
                <w:rFonts w:hint="eastAsia" w:ascii="仿宋_GB2312" w:hAnsi="宋体" w:eastAsia="仿宋_GB2312" w:cs="宋体"/>
                <w:bCs/>
                <w:sz w:val="18"/>
                <w:szCs w:val="18"/>
              </w:rPr>
            </w:pPr>
            <w:r>
              <w:rPr>
                <w:rFonts w:hint="eastAsia" w:ascii="仿宋_GB2312" w:hAnsi="宋体" w:eastAsia="仿宋_GB2312" w:cs="宋体"/>
                <w:bCs/>
                <w:kern w:val="0"/>
                <w:sz w:val="18"/>
                <w:szCs w:val="18"/>
              </w:rPr>
              <w:t>（1）支持按照规则批量分配,可设定自动分配规则模板，用于分配去向，书刊状态和分配数量的默认值设定。</w:t>
            </w:r>
          </w:p>
          <w:p w14:paraId="36DE95F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（2）支持按照选择条件批量分批，可批量修改分馆，馆藏地，书刊状态等。</w:t>
            </w:r>
          </w:p>
          <w:p w14:paraId="142AF6C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（3）支持按照扫描条码方式进行分配。</w:t>
            </w:r>
          </w:p>
          <w:p w14:paraId="4F48E01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（4）提供取消典藏和批量取消典藏功能。</w:t>
            </w:r>
          </w:p>
          <w:p w14:paraId="39C8CE7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（5）可按地，按类，按批，按册多种方式进行批量调拨，进行交接单的打印和导出。</w:t>
            </w:r>
          </w:p>
          <w:p w14:paraId="67A62A8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（6）支持外部文件导入调拨。</w:t>
            </w:r>
          </w:p>
          <w:p w14:paraId="6CB9B7A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（7）支持只修改所在地的调拨，支持调拨过程中修改书刊状态。</w:t>
            </w:r>
          </w:p>
          <w:p w14:paraId="2BC7A09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（8）支持查看已有馆藏的调拨记录。</w:t>
            </w:r>
          </w:p>
          <w:p w14:paraId="2468A4B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（9）提供按地，按类方式清点。</w:t>
            </w:r>
          </w:p>
          <w:p w14:paraId="5D849F0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（10）支持外部文件导入清点。</w:t>
            </w:r>
          </w:p>
          <w:p w14:paraId="43D4D9F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（11）提供清点统计功能。</w:t>
            </w:r>
          </w:p>
          <w:p w14:paraId="57BB4C3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（12）提供修补，回验，剔旧，赠送，交换等多种馆藏处理功能。</w:t>
            </w:r>
          </w:p>
          <w:p w14:paraId="4768F377">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（13）留有</w:t>
            </w:r>
            <w:r>
              <w:rPr>
                <w:rFonts w:ascii="仿宋_GB2312" w:hAnsi="宋体" w:eastAsia="仿宋_GB2312" w:cs="宋体"/>
                <w:bCs/>
                <w:kern w:val="0"/>
                <w:sz w:val="18"/>
                <w:szCs w:val="18"/>
              </w:rPr>
              <w:t>其他终端对接接口，可</w:t>
            </w:r>
            <w:r>
              <w:rPr>
                <w:rFonts w:hint="eastAsia" w:ascii="仿宋_GB2312" w:hAnsi="宋体" w:eastAsia="仿宋_GB2312" w:cs="宋体"/>
                <w:bCs/>
                <w:kern w:val="0"/>
                <w:sz w:val="18"/>
                <w:szCs w:val="18"/>
              </w:rPr>
              <w:t>实现调拨，清点，馆藏处理功能，支持摄像头扫码功能。</w:t>
            </w:r>
          </w:p>
          <w:p w14:paraId="2050E94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（14）提供排架号分配，修改和查询功能。</w:t>
            </w:r>
          </w:p>
          <w:p w14:paraId="5B11585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（15）可通过导入外部文件方式生成排架号。</w:t>
            </w:r>
          </w:p>
          <w:p w14:paraId="2CDC874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w:t>
            </w:r>
            <w:r>
              <w:rPr>
                <w:rFonts w:ascii="仿宋_GB2312" w:hAnsi="宋体" w:eastAsia="仿宋_GB2312" w:cs="宋体"/>
                <w:bCs/>
                <w:kern w:val="0"/>
                <w:sz w:val="18"/>
                <w:szCs w:val="18"/>
              </w:rPr>
              <w:t>16</w:t>
            </w:r>
            <w:r>
              <w:rPr>
                <w:rFonts w:hint="eastAsia" w:ascii="仿宋_GB2312" w:hAnsi="宋体" w:eastAsia="仿宋_GB2312" w:cs="宋体"/>
                <w:bCs/>
                <w:kern w:val="0"/>
                <w:sz w:val="18"/>
                <w:szCs w:val="18"/>
              </w:rPr>
              <w:t>）可在分配排架号的同时修改分馆，馆藏地和书刊状态。</w:t>
            </w:r>
          </w:p>
          <w:p w14:paraId="32F24AA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6.连续出版物</w:t>
            </w:r>
          </w:p>
          <w:p w14:paraId="1427559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（1）支持外部数据导入，支持MARC和EXCEL外部数据导入。</w:t>
            </w:r>
          </w:p>
          <w:p w14:paraId="440B690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（2）支持征订批查重、批订购、批删除、批发订、批取消发订、批退订。</w:t>
            </w:r>
          </w:p>
          <w:p w14:paraId="04C9365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（3）提供批量规范出版频率和价格的功能。</w:t>
            </w:r>
          </w:p>
          <w:p w14:paraId="3635962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（4）支持订购记录元数据的手工新增，支持通过本地库查重新增，支持获取外部数据。</w:t>
            </w:r>
          </w:p>
          <w:p w14:paraId="40CEDA2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（5）支持订购征订价格差异比较、订购征订频率差异比较，比较后支持批量同步价格和频率，并可对比较结果进行操作。</w:t>
            </w:r>
          </w:p>
          <w:p w14:paraId="5A9488B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（6）提供批量编辑订户功能，可批量新增， 修改和删除订户或者分配地。</w:t>
            </w:r>
          </w:p>
          <w:p w14:paraId="0F4D1625">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（7）支持批量续订，可选择续订期刊类型和续订内容，支持根据往年订购明细与新年度的征订明细进行比较进行续订。</w:t>
            </w:r>
          </w:p>
          <w:p w14:paraId="1B57382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（8）支持对签收期刊数据的多个检索选项，多种检索条件的查询。</w:t>
            </w:r>
          </w:p>
          <w:p w14:paraId="7C10DD5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（9）可根据不同订户设置不同的签收参数，可分别进行签收。</w:t>
            </w:r>
          </w:p>
          <w:p w14:paraId="2E07676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（10）支持批量的签收，退签，删除卷期功能。</w:t>
            </w:r>
          </w:p>
          <w:p w14:paraId="6D15F74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（11）提供新增卷期，批量新增卷期的功能。</w:t>
            </w:r>
          </w:p>
          <w:p w14:paraId="7EBC9FCE">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（12）针对合刊，增刊，停刊，改名刊模式提供相应的处理功能。</w:t>
            </w:r>
          </w:p>
          <w:p w14:paraId="254B9E7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（13）支持卷期顺序的调整功能。</w:t>
            </w:r>
          </w:p>
          <w:p w14:paraId="610A319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（14）提供现刊交接和交接取回功能。</w:t>
            </w:r>
          </w:p>
          <w:p w14:paraId="5F1D2DD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（15）支持按照分配地，签收人员，签收日期等条件进行交接信息查询，支持交接信息的大导出和打印。</w:t>
            </w:r>
          </w:p>
          <w:p w14:paraId="7D7495F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（16）可按照缺刊，未签刊，断刊，未到刊类型进行催缺。</w:t>
            </w:r>
          </w:p>
          <w:p w14:paraId="7CA98D5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（17）可根据分类号，往年排架号，文件导入方式生成新一年排架号。</w:t>
            </w:r>
          </w:p>
          <w:p w14:paraId="0FA09C2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（18）提供按照出版年，分配地条件进行下架和下架取回的功能。</w:t>
            </w:r>
          </w:p>
          <w:p w14:paraId="1F9236C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（19）提供合订本装订功能，可自动生成合订本卷期相关信息。</w:t>
            </w:r>
          </w:p>
          <w:p w14:paraId="474CC1F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（20）提供合订本的增加，修改，删除功能。</w:t>
            </w:r>
          </w:p>
          <w:p w14:paraId="66B91D3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（21）提供单刊的增加，删除，剪切和粘贴操作。</w:t>
            </w:r>
          </w:p>
          <w:p w14:paraId="66A342B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（22）支持合订本的批量验收和验收取回，批量典藏和典藏取回功能。</w:t>
            </w:r>
          </w:p>
          <w:p w14:paraId="2044327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（23）支持手工和自动分配、打印合订本财产号和条码号。</w:t>
            </w:r>
          </w:p>
          <w:p w14:paraId="7351B97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（24）提供单刊典藏功能，实现现刊的直接入藏。</w:t>
            </w:r>
          </w:p>
          <w:p w14:paraId="214575E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（25）提供过刊处理维护功能，实现对过刊的报废和廉价处理。</w:t>
            </w:r>
          </w:p>
          <w:p w14:paraId="00C81C9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7.读者服务</w:t>
            </w:r>
          </w:p>
          <w:p w14:paraId="17FEB81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（1）提供读者新增、修改、删除功能。</w:t>
            </w:r>
          </w:p>
          <w:p w14:paraId="21E9D46E">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（2）读者可同时具备多种有效证件。</w:t>
            </w:r>
          </w:p>
          <w:p w14:paraId="22873F2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（3）用户可以有多重身份，可以是馆员，也可以是读者。</w:t>
            </w:r>
          </w:p>
          <w:p w14:paraId="398EFD1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（4）提供批量读者挂失，解挂，停借，停借恢复，注销，注销恢复，冻结，解冻功能。</w:t>
            </w:r>
          </w:p>
          <w:p w14:paraId="3D915BB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（5）提供读者批量重置密码功能。提供读者批量修改信息功能。</w:t>
            </w:r>
          </w:p>
          <w:p w14:paraId="0C77C47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（6）提供参数化的读者数据导入配置，可以从外部文件导入。</w:t>
            </w:r>
          </w:p>
          <w:p w14:paraId="69B9967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（7）提供读者照片批量导入功能，照片名字可以有多种匹配方式。</w:t>
            </w:r>
          </w:p>
          <w:p w14:paraId="0FCD859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（8）可根据多种条件检索需要导出的读者，可自定义导出字段，可导出读者的借阅、违章、罚款信息。</w:t>
            </w:r>
          </w:p>
          <w:p w14:paraId="5A8B5E4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（9）提供读者换证，换号功能。提供借书，还书，续借等功能。提供违章处理，可自定义违章内容。</w:t>
            </w:r>
          </w:p>
          <w:p w14:paraId="2FABC06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（10）提供费用管理功能，支持收取读者手续费、押金，预付款，支持打印收款单据。</w:t>
            </w:r>
            <w:bookmarkStart w:id="1" w:name="OLE_LINK30"/>
            <w:bookmarkStart w:id="2" w:name="OLE_LINK9"/>
            <w:r>
              <w:rPr>
                <w:rFonts w:hint="eastAsia" w:ascii="仿宋_GB2312" w:hAnsi="宋体" w:eastAsia="仿宋_GB2312" w:cs="宋体"/>
                <w:bCs/>
                <w:kern w:val="0"/>
                <w:sz w:val="18"/>
                <w:szCs w:val="18"/>
              </w:rPr>
              <w:t>提供超期罚款，超期免罚功能</w:t>
            </w:r>
            <w:bookmarkEnd w:id="1"/>
            <w:r>
              <w:rPr>
                <w:rFonts w:hint="eastAsia" w:ascii="仿宋_GB2312" w:hAnsi="宋体" w:eastAsia="仿宋_GB2312" w:cs="宋体"/>
                <w:bCs/>
                <w:kern w:val="0"/>
                <w:sz w:val="18"/>
                <w:szCs w:val="18"/>
              </w:rPr>
              <w:t>。</w:t>
            </w:r>
            <w:bookmarkEnd w:id="2"/>
          </w:p>
          <w:p w14:paraId="6AFFF7C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（11）提供闭馆日和临时延期功能，可根据多种条件检索需要延期的读者，可多选需要延期的馆藏地，可自定义临时延期起始，截止，目标日期。</w:t>
            </w:r>
          </w:p>
          <w:p w14:paraId="78D112A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（12）提供图书预约功能，支持本地预约和跨校区预约，提供预约申请管理和预约到书管理，支持多次到书不取的处罚功能。</w:t>
            </w:r>
          </w:p>
          <w:p w14:paraId="07C6C6C7">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（13）提供跨校区预约，包括预约送交，预约接收，委托送交，委托接收，图书所在地以及状态会随物流变化而变化，保证读者在统一检索系统查询到的图书状态的准确。</w:t>
            </w:r>
            <w:r>
              <w:rPr>
                <w:rFonts w:hint="eastAsia" w:ascii="仿宋_GB2312" w:hAnsi="宋体" w:eastAsia="仿宋_GB2312" w:cs="宋体"/>
                <w:bCs/>
                <w:kern w:val="0"/>
                <w:sz w:val="18"/>
                <w:szCs w:val="18"/>
              </w:rPr>
              <w:br w:type="textWrapping"/>
            </w:r>
            <w:r>
              <w:rPr>
                <w:rFonts w:hint="eastAsia" w:ascii="仿宋_GB2312" w:hAnsi="宋体" w:eastAsia="仿宋_GB2312" w:cs="宋体"/>
                <w:bCs/>
                <w:kern w:val="0"/>
                <w:sz w:val="18"/>
                <w:szCs w:val="18"/>
              </w:rPr>
              <w:t>（14）提供新书和还书上架的物流管理，图书所在地以及状态会随物流变化而变化，保证读者在统一检索系统查询到的图书状态的准确。</w:t>
            </w:r>
          </w:p>
          <w:p w14:paraId="6FC475D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（15）提供遗失赔偿功能，可进行赔书，赔款等处理。</w:t>
            </w:r>
          </w:p>
          <w:p w14:paraId="5EEA9A9E">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8.统计分析</w:t>
            </w:r>
          </w:p>
          <w:p w14:paraId="693A78A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（1）可在不停止系统的情况下通过更新或者下载新的统计模板。</w:t>
            </w:r>
          </w:p>
          <w:p w14:paraId="0332EBD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（2）馆员可将所需统计分析设为个人常用，实现个性化使用。</w:t>
            </w:r>
          </w:p>
          <w:p w14:paraId="538F77A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（3）统计报表可自定义打印内容和导出内容，兼容多种文件格式。</w:t>
            </w:r>
          </w:p>
          <w:p w14:paraId="41EDC02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资源采购统计包括但不限于借阅情况分析、经费变化情况汇总、订户订购明细、订购到书明细、财产账清单、期刊年度馆藏订购清单、期刊年度订购分类清单、热门检索词统计、出版社馆藏借阅分析、学科热度分析等。</w:t>
            </w:r>
          </w:p>
          <w:p w14:paraId="58F2308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（5）资产分析，包括但不限于资源增长汇总、文献来源统计、馆藏分布统计、馆藏增长统计、资源分布汇总。</w:t>
            </w:r>
          </w:p>
          <w:p w14:paraId="5E3D5F85">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资源利用，包括文献周转率、文献利用率、馆藏在借文献、借还分类综合统计情况等统计分析。以及图书借阅排行、读者借阅排行、读者成分、读者增长、读者借阅人次，借阅数量区间、读者借阅时间区间、读者借阅个体时间等统计分析。</w:t>
            </w:r>
          </w:p>
          <w:p w14:paraId="73866A6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（7）运行日志，包括账目清单、催还清单、流通日志、业务工作量、部门工作量、小组工作量、人员工作量统计、日志查询等统计分析。</w:t>
            </w:r>
          </w:p>
          <w:p w14:paraId="06ACB947">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9.数据统计</w:t>
            </w:r>
          </w:p>
          <w:p w14:paraId="2B4C93C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（1）读者统计，针对读者相关信息进行分析，包括但不限于读者分布，借阅占比，读者排行榜等。</w:t>
            </w:r>
          </w:p>
          <w:p w14:paraId="33CD77C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（2）借阅统计，针对纸本图书借阅信息进行分析，包括但不限于借书，还书，预约，委托，图书排行榜等。</w:t>
            </w:r>
          </w:p>
          <w:p w14:paraId="6C79FD1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（3）行为统计，针对读者除借阅以外的所有行为分析，包括但不限于荐购，检索，访问，积分等。</w:t>
            </w:r>
          </w:p>
          <w:p w14:paraId="1EF0353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（4）馆藏统计，针对馆藏纸质资源进行分析，包括但不限于图书分布，期刊分布，馆藏分布等。</w:t>
            </w:r>
          </w:p>
          <w:p w14:paraId="0036B6E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（5）自定义统计，根据图书馆自身需求，可以自定义图书馆业务管理系统运行数据进行统计。</w:t>
            </w:r>
          </w:p>
          <w:p w14:paraId="4E149F87">
            <w:pPr>
              <w:widowControl/>
              <w:tabs>
                <w:tab w:val="left" w:pos="312"/>
              </w:tabs>
              <w:jc w:val="left"/>
              <w:rPr>
                <w:rFonts w:hint="eastAsia" w:ascii="仿宋_GB2312" w:eastAsia="仿宋_GB2312"/>
                <w:bCs/>
              </w:rPr>
            </w:pPr>
            <w:r>
              <w:rPr>
                <w:rFonts w:hint="eastAsia" w:ascii="仿宋_GB2312" w:hAnsi="宋体" w:eastAsia="仿宋_GB2312" w:cs="宋体"/>
                <w:bCs/>
                <w:kern w:val="0"/>
                <w:sz w:val="18"/>
                <w:szCs w:val="18"/>
              </w:rPr>
              <w:t>（6）提供和智慧馆务系统、智慧校园系统以及后续系统所需数据的所有接口。</w:t>
            </w:r>
          </w:p>
        </w:tc>
        <w:tc>
          <w:tcPr>
            <w:tcW w:w="319"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0838DA6F">
            <w:pPr>
              <w:widowControl/>
              <w:jc w:val="center"/>
              <w:rPr>
                <w:rFonts w:hint="eastAsia" w:ascii="仿宋_GB2312" w:hAnsi="宋体" w:eastAsia="仿宋_GB2312"/>
                <w:bCs/>
                <w:kern w:val="0"/>
                <w:sz w:val="18"/>
                <w:szCs w:val="18"/>
              </w:rPr>
            </w:pPr>
          </w:p>
        </w:tc>
        <w:tc>
          <w:tcPr>
            <w:tcW w:w="380" w:type="pct"/>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center"/>
          </w:tcPr>
          <w:p w14:paraId="082094C4">
            <w:pPr>
              <w:widowControl/>
              <w:jc w:val="center"/>
              <w:rPr>
                <w:rFonts w:hint="eastAsia" w:ascii="仿宋_GB2312" w:hAnsi="宋体" w:eastAsia="仿宋_GB2312"/>
                <w:bCs/>
                <w:kern w:val="0"/>
                <w:sz w:val="18"/>
                <w:szCs w:val="18"/>
              </w:rPr>
            </w:pPr>
          </w:p>
        </w:tc>
      </w:tr>
    </w:tbl>
    <w:p w14:paraId="142A14EB">
      <w:pPr>
        <w:pStyle w:val="3"/>
        <w:rPr>
          <w:rFonts w:hint="eastAsia" w:ascii="仿宋_GB2312" w:eastAsia="仿宋_GB2312" w:hAnsiTheme="minorEastAsia" w:cstheme="minorEastAsia"/>
          <w:b w:val="0"/>
          <w:bCs/>
          <w:sz w:val="24"/>
          <w:lang w:eastAsia="zh-Hans"/>
        </w:rPr>
      </w:pPr>
      <w:r>
        <w:rPr>
          <w:rFonts w:hint="eastAsia" w:ascii="仿宋_GB2312" w:eastAsia="仿宋_GB2312" w:hAnsiTheme="minorEastAsia" w:cstheme="minorEastAsia"/>
          <w:b w:val="0"/>
          <w:bCs/>
          <w:sz w:val="24"/>
          <w:lang w:eastAsia="zh-Hans"/>
        </w:rPr>
        <w:t>3.智慧馆务系统</w:t>
      </w:r>
    </w:p>
    <w:tbl>
      <w:tblPr>
        <w:tblStyle w:val="6"/>
        <w:tblW w:w="5000" w:type="pct"/>
        <w:jc w:val="center"/>
        <w:tblLayout w:type="autofit"/>
        <w:tblCellMar>
          <w:top w:w="0" w:type="dxa"/>
          <w:left w:w="0" w:type="dxa"/>
          <w:bottom w:w="0" w:type="dxa"/>
          <w:right w:w="0" w:type="dxa"/>
        </w:tblCellMar>
      </w:tblPr>
      <w:tblGrid>
        <w:gridCol w:w="733"/>
        <w:gridCol w:w="822"/>
        <w:gridCol w:w="10473"/>
        <w:gridCol w:w="892"/>
        <w:gridCol w:w="1063"/>
      </w:tblGrid>
      <w:tr w14:paraId="6B67D96A">
        <w:tblPrEx>
          <w:tblCellMar>
            <w:top w:w="0" w:type="dxa"/>
            <w:left w:w="0" w:type="dxa"/>
            <w:bottom w:w="0" w:type="dxa"/>
            <w:right w:w="0" w:type="dxa"/>
          </w:tblCellMar>
        </w:tblPrEx>
        <w:trPr>
          <w:trHeight w:val="20" w:hRule="atLeast"/>
          <w:tblHeader/>
          <w:jc w:val="center"/>
        </w:trPr>
        <w:tc>
          <w:tcPr>
            <w:tcW w:w="262"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2D713DA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294" w:type="pct"/>
            <w:tcBorders>
              <w:top w:val="single" w:color="auto" w:sz="8" w:space="0"/>
              <w:left w:val="single" w:color="auto" w:sz="8" w:space="0"/>
              <w:bottom w:val="single" w:color="auto" w:sz="4" w:space="0"/>
              <w:right w:val="single" w:color="000000" w:sz="8" w:space="0"/>
            </w:tcBorders>
            <w:shd w:val="clear" w:color="000000" w:fill="FFFFFF"/>
            <w:vAlign w:val="center"/>
          </w:tcPr>
          <w:p w14:paraId="6C5832E5">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745" w:type="pct"/>
            <w:tcBorders>
              <w:top w:val="single" w:color="auto" w:sz="8" w:space="0"/>
              <w:left w:val="single" w:color="auto" w:sz="8" w:space="0"/>
              <w:bottom w:val="single" w:color="auto" w:sz="4" w:space="0"/>
              <w:right w:val="single" w:color="000000" w:sz="8" w:space="0"/>
            </w:tcBorders>
            <w:shd w:val="clear" w:color="000000" w:fill="FFFFFF"/>
            <w:vAlign w:val="center"/>
          </w:tcPr>
          <w:p w14:paraId="0EA5709B">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319" w:type="pct"/>
            <w:tcBorders>
              <w:top w:val="single" w:color="auto" w:sz="8" w:space="0"/>
              <w:left w:val="single" w:color="auto" w:sz="8" w:space="0"/>
              <w:bottom w:val="single" w:color="auto" w:sz="4" w:space="0"/>
              <w:right w:val="single" w:color="000000" w:sz="8" w:space="0"/>
            </w:tcBorders>
            <w:shd w:val="clear" w:color="000000" w:fill="FFFFFF"/>
            <w:vAlign w:val="center"/>
          </w:tcPr>
          <w:p w14:paraId="7BDDB60F">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380" w:type="pct"/>
            <w:tcBorders>
              <w:top w:val="single" w:color="auto" w:sz="8" w:space="0"/>
              <w:left w:val="single" w:color="auto" w:sz="8" w:space="0"/>
              <w:bottom w:val="single" w:color="auto" w:sz="4" w:space="0"/>
              <w:right w:val="single" w:color="000000" w:sz="8" w:space="0"/>
            </w:tcBorders>
            <w:shd w:val="clear" w:color="000000" w:fill="FFFFFF"/>
            <w:vAlign w:val="center"/>
          </w:tcPr>
          <w:p w14:paraId="039E4FCB">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w:t>
            </w:r>
            <w:r>
              <w:rPr>
                <w:rFonts w:ascii="仿宋_GB2312" w:hAnsi="宋体" w:eastAsia="仿宋_GB2312"/>
                <w:bCs/>
                <w:kern w:val="0"/>
                <w:sz w:val="18"/>
                <w:szCs w:val="18"/>
              </w:rPr>
              <w:t>确认</w:t>
            </w:r>
          </w:p>
        </w:tc>
      </w:tr>
      <w:tr w14:paraId="5B1D452E">
        <w:tblPrEx>
          <w:tblCellMar>
            <w:top w:w="0" w:type="dxa"/>
            <w:left w:w="0" w:type="dxa"/>
            <w:bottom w:w="0" w:type="dxa"/>
            <w:right w:w="0" w:type="dxa"/>
          </w:tblCellMar>
        </w:tblPrEx>
        <w:trPr>
          <w:trHeight w:val="20" w:hRule="atLeast"/>
          <w:jc w:val="center"/>
        </w:trPr>
        <w:tc>
          <w:tcPr>
            <w:tcW w:w="262"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0A0C99F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294" w:type="pct"/>
            <w:tcBorders>
              <w:top w:val="single" w:color="auto" w:sz="8" w:space="0"/>
              <w:left w:val="single" w:color="auto" w:sz="8" w:space="0"/>
              <w:bottom w:val="single" w:color="auto" w:sz="4" w:space="0"/>
              <w:right w:val="single" w:color="000000" w:sz="8" w:space="0"/>
            </w:tcBorders>
            <w:shd w:val="clear" w:color="000000" w:fill="FFFFFF"/>
            <w:vAlign w:val="center"/>
          </w:tcPr>
          <w:p w14:paraId="207B6649">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智能馆务系统</w:t>
            </w:r>
          </w:p>
        </w:tc>
        <w:tc>
          <w:tcPr>
            <w:tcW w:w="3745" w:type="pct"/>
            <w:tcBorders>
              <w:top w:val="single" w:color="auto" w:sz="8" w:space="0"/>
              <w:left w:val="single" w:color="auto" w:sz="8" w:space="0"/>
              <w:bottom w:val="single" w:color="auto" w:sz="4" w:space="0"/>
              <w:right w:val="single" w:color="000000" w:sz="8" w:space="0"/>
            </w:tcBorders>
            <w:shd w:val="clear" w:color="000000" w:fill="FFFFFF"/>
            <w:vAlign w:val="center"/>
          </w:tcPr>
          <w:p w14:paraId="390FB1E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1．信息资源</w:t>
            </w:r>
          </w:p>
          <w:p w14:paraId="2A29757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实现与图书业务管理系统对接，获取包括馆藏纸质图书的种数、种数占比、册数、册数占比、增量、分布、分类统计、购买批次、购买金额、使用效益等，数字资源的名称、来源、数量、占比、增量、分布、分类统计、购买批次、购买金额、使用效益等数据，并在系统中予以展示。</w:t>
            </w:r>
          </w:p>
          <w:p w14:paraId="138B273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2．业务服务</w:t>
            </w:r>
          </w:p>
          <w:p w14:paraId="5C6B9D6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与图书馆智慧门户系统、图书馆业务管理系统、图书馆元数据资源池、设备等系统对接，获取包括线下和线上读者用户的数量、类型、单位，到馆和访问时间、人数等读者用户情况；读者用户借还图书、浏览、下载、收藏数字信息资源等利用情况的数据并在系统中予以展示。</w:t>
            </w:r>
          </w:p>
          <w:p w14:paraId="2781618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3．人员管理</w:t>
            </w:r>
          </w:p>
          <w:p w14:paraId="2986BF2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实现对图书馆内人员信息管理，包括个人履历信息、个人业务信息、职责分工等管理。并实现与外部系统共享。信息包括但不限于：姓名、性别、身份证号、校园一卡通账号、人员类别、政治面貌、生日（当前年龄）、在岗状态、在职时间、个人履历、学历水平、培训经历、联系方式、住址、科研成果、奖惩情况、职责分工、个人考勤、社会关系、各阶段考评等级等。个人考勤数据可与考勤信息连接。</w:t>
            </w:r>
          </w:p>
          <w:p w14:paraId="3160D9F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4．馆舍空间</w:t>
            </w:r>
          </w:p>
          <w:p w14:paraId="6B97CB6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可多种形式记录、展示馆舍空间信息，包括馆舍面积、建筑时间等总体情况，空间名称，空间名称和功能变更历史、类别、面积、室内设施设备、管理人员等库室信息。支持上传相关图纸、照片、说明文档等。采用图形化界面，将人、设施设备等要素信息在空间平面图（或立体图）中直观展示。</w:t>
            </w:r>
          </w:p>
          <w:p w14:paraId="3962F80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5.经费情况</w:t>
            </w:r>
          </w:p>
          <w:p w14:paraId="24D0D9D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实现图书馆经费管理。从经费预算、开支内容、经费决算、物资分配等方面对经费使用全流程进行管理。包括经费预算、经费决算、经费来源、开支内容、登记资产、物品单价、开支时间、报销凭证号、负责人、备注信息等，支持上传佐证材料，根据购买物品属性，生成物资出入库记录、固定资产清单。</w:t>
            </w:r>
          </w:p>
          <w:p w14:paraId="7B42C02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6.设施设备</w:t>
            </w:r>
          </w:p>
          <w:p w14:paraId="4AD2CCA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管理内容包括设施设备名称、类别、品牌、型号、规格、来源、到馆时间、固定资产登记、配属空间、使用人、图纸、照片、报销凭证等。并与其他系统实现信息共享。</w:t>
            </w:r>
          </w:p>
          <w:p w14:paraId="1402ABFE">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7.事务</w:t>
            </w:r>
          </w:p>
          <w:p w14:paraId="458CEA0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包括学期时间、放假时间，周报、月报、总结管理，呈批件标题、时间、承办人、领导批复抄清等，支持相关文档、图纸、照片、报销凭证等上传。</w:t>
            </w:r>
          </w:p>
          <w:p w14:paraId="49FA84E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8.项目建设</w:t>
            </w:r>
          </w:p>
          <w:p w14:paraId="2AC87505">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包括项目名称、申报时间、类别、项目来源、批复情况、批复项目经费、项目建设进度、经费使用情况等管理功能，并支持上传图纸、照片、相关文档等。</w:t>
            </w:r>
          </w:p>
          <w:p w14:paraId="673E0D0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9.模块整体功能</w:t>
            </w:r>
          </w:p>
          <w:p w14:paraId="5286483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允许各子模块具有模块内全要素检索功能，支持快速跳转相应内容板块。系统提供统计分析工具，对上述各类馆务数据进行分析，采用表格化、数据化、图形化的界面，揭示图书馆各类运行情况。系统根据时间范围等相关设定，生成包含所选数据类别分报告的图书馆发展报告。系统生成的报告采用PDF或Word格式文件。</w:t>
            </w:r>
          </w:p>
          <w:p w14:paraId="048E3AA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10.运行环境</w:t>
            </w:r>
          </w:p>
          <w:p w14:paraId="5F6DFBF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技术架构：采用B/S结构，支持PC及智能终端访问，并为后期其它设备或系统访问预留数据接口。</w:t>
            </w:r>
          </w:p>
          <w:p w14:paraId="190A0E89">
            <w:pPr>
              <w:widowControl/>
              <w:tabs>
                <w:tab w:val="left" w:pos="312"/>
              </w:tabs>
              <w:jc w:val="left"/>
              <w:rPr>
                <w:rFonts w:hint="eastAsia" w:ascii="仿宋_GB2312" w:hAnsi="宋体" w:eastAsia="仿宋_GB2312" w:cs="宋体"/>
                <w:bCs/>
                <w:kern w:val="0"/>
                <w:sz w:val="18"/>
                <w:szCs w:val="18"/>
              </w:rPr>
            </w:pPr>
            <w:r>
              <w:rPr>
                <w:rFonts w:ascii="仿宋_GB2312" w:hAnsi="宋体" w:eastAsia="仿宋_GB2312" w:cs="宋体"/>
                <w:bCs/>
                <w:kern w:val="0"/>
                <w:sz w:val="18"/>
                <w:szCs w:val="18"/>
              </w:rPr>
              <w:t>所有系统均可基于国产操作系统或其它操作系统运行，数据库运行均基于《数据库产品名录》内的产品。</w:t>
            </w:r>
          </w:p>
          <w:p w14:paraId="79C869E6">
            <w:pPr>
              <w:widowControl/>
              <w:tabs>
                <w:tab w:val="left" w:pos="312"/>
              </w:tabs>
              <w:jc w:val="left"/>
              <w:rPr>
                <w:rFonts w:hint="eastAsia" w:ascii="仿宋_GB2312" w:hAnsi="宋体" w:eastAsia="仿宋_GB2312" w:cs="宋体"/>
                <w:bCs/>
                <w:kern w:val="0"/>
                <w:sz w:val="18"/>
                <w:szCs w:val="18"/>
              </w:rPr>
            </w:pPr>
            <w:r>
              <w:rPr>
                <w:rFonts w:ascii="仿宋_GB2312" w:hAnsi="宋体" w:eastAsia="仿宋_GB2312" w:cs="宋体"/>
                <w:bCs/>
                <w:kern w:val="0"/>
                <w:sz w:val="18"/>
                <w:szCs w:val="18"/>
              </w:rPr>
              <w:t>与</w:t>
            </w:r>
            <w:r>
              <w:rPr>
                <w:rFonts w:hint="eastAsia" w:ascii="仿宋_GB2312" w:hAnsi="宋体" w:eastAsia="仿宋_GB2312" w:cs="宋体"/>
                <w:bCs/>
                <w:kern w:val="0"/>
                <w:sz w:val="18"/>
                <w:szCs w:val="18"/>
              </w:rPr>
              <w:t>大学</w:t>
            </w:r>
            <w:r>
              <w:rPr>
                <w:rFonts w:ascii="仿宋_GB2312" w:hAnsi="宋体" w:eastAsia="仿宋_GB2312" w:cs="宋体"/>
                <w:bCs/>
                <w:kern w:val="0"/>
                <w:sz w:val="18"/>
                <w:szCs w:val="18"/>
              </w:rPr>
              <w:t>、图书馆其它系统能够实现接口对接，数据传输。同时预留接口，方便与其他系统或数据库进行集成，并且可以方便地进行升级和维护。</w:t>
            </w:r>
          </w:p>
          <w:p w14:paraId="19688CB3">
            <w:pPr>
              <w:widowControl/>
              <w:tabs>
                <w:tab w:val="left" w:pos="312"/>
              </w:tabs>
              <w:jc w:val="left"/>
              <w:rPr>
                <w:rFonts w:hint="eastAsia" w:ascii="仿宋_GB2312" w:hAnsi="宋体" w:eastAsia="仿宋_GB2312"/>
                <w:bCs/>
                <w:kern w:val="0"/>
                <w:sz w:val="18"/>
                <w:szCs w:val="18"/>
              </w:rPr>
            </w:pPr>
            <w:r>
              <w:rPr>
                <w:rFonts w:hint="eastAsia" w:ascii="仿宋_GB2312" w:hAnsi="宋体" w:eastAsia="仿宋_GB2312" w:cs="宋体"/>
                <w:bCs/>
                <w:kern w:val="0"/>
                <w:sz w:val="18"/>
                <w:szCs w:val="18"/>
              </w:rPr>
              <w:t>浏览器：兼容IE、Edge、Chrome、Firefox、360以及国产操作系统内置浏览器等。</w:t>
            </w:r>
          </w:p>
        </w:tc>
        <w:tc>
          <w:tcPr>
            <w:tcW w:w="319" w:type="pct"/>
            <w:tcBorders>
              <w:top w:val="single" w:color="auto" w:sz="8" w:space="0"/>
              <w:left w:val="single" w:color="auto" w:sz="8" w:space="0"/>
              <w:bottom w:val="single" w:color="auto" w:sz="4" w:space="0"/>
              <w:right w:val="single" w:color="000000" w:sz="8" w:space="0"/>
            </w:tcBorders>
            <w:shd w:val="clear" w:color="000000" w:fill="FFFFFF"/>
            <w:vAlign w:val="center"/>
          </w:tcPr>
          <w:p w14:paraId="5AEA7190">
            <w:pPr>
              <w:widowControl/>
              <w:jc w:val="center"/>
              <w:rPr>
                <w:rFonts w:hint="eastAsia" w:ascii="仿宋_GB2312" w:hAnsi="宋体" w:eastAsia="仿宋_GB2312"/>
                <w:bCs/>
                <w:kern w:val="0"/>
                <w:sz w:val="18"/>
                <w:szCs w:val="18"/>
              </w:rPr>
            </w:pPr>
          </w:p>
        </w:tc>
        <w:tc>
          <w:tcPr>
            <w:tcW w:w="380" w:type="pct"/>
            <w:tcBorders>
              <w:top w:val="single" w:color="auto" w:sz="8" w:space="0"/>
              <w:left w:val="single" w:color="auto" w:sz="8" w:space="0"/>
              <w:bottom w:val="single" w:color="auto" w:sz="4" w:space="0"/>
              <w:right w:val="single" w:color="000000" w:sz="8" w:space="0"/>
            </w:tcBorders>
            <w:shd w:val="clear" w:color="000000" w:fill="FFFFFF"/>
            <w:vAlign w:val="center"/>
          </w:tcPr>
          <w:p w14:paraId="6F13868A">
            <w:pPr>
              <w:widowControl/>
              <w:jc w:val="center"/>
              <w:rPr>
                <w:rFonts w:hint="eastAsia" w:ascii="仿宋_GB2312" w:hAnsi="宋体" w:eastAsia="仿宋_GB2312"/>
                <w:bCs/>
                <w:kern w:val="0"/>
                <w:sz w:val="18"/>
                <w:szCs w:val="18"/>
              </w:rPr>
            </w:pPr>
          </w:p>
        </w:tc>
      </w:tr>
    </w:tbl>
    <w:p w14:paraId="0CF3E907">
      <w:pPr>
        <w:pStyle w:val="3"/>
        <w:rPr>
          <w:rFonts w:hint="eastAsia" w:ascii="仿宋_GB2312" w:eastAsia="仿宋_GB2312" w:hAnsiTheme="minorEastAsia" w:cstheme="minorEastAsia"/>
          <w:b w:val="0"/>
          <w:bCs/>
          <w:sz w:val="24"/>
          <w:lang w:eastAsia="zh-Hans"/>
        </w:rPr>
      </w:pPr>
      <w:r>
        <w:rPr>
          <w:rFonts w:hint="eastAsia" w:ascii="仿宋_GB2312" w:eastAsia="仿宋_GB2312" w:hAnsiTheme="minorEastAsia" w:cstheme="minorEastAsia"/>
          <w:b w:val="0"/>
          <w:bCs/>
          <w:sz w:val="24"/>
          <w:lang w:eastAsia="zh-Hans"/>
        </w:rPr>
        <w:t>4.图书馆元数据资源池及数据挖掘分析</w:t>
      </w:r>
    </w:p>
    <w:p w14:paraId="043F79ED">
      <w:pPr>
        <w:pStyle w:val="4"/>
        <w:spacing w:before="260" w:after="260"/>
        <w:rPr>
          <w:rFonts w:hint="eastAsia" w:ascii="仿宋_GB2312" w:eastAsia="仿宋_GB2312" w:hAnsiTheme="minorEastAsia" w:cstheme="minorEastAsia"/>
          <w:b w:val="0"/>
          <w:sz w:val="24"/>
          <w:lang w:eastAsia="zh-Hans"/>
        </w:rPr>
      </w:pPr>
      <w:bookmarkStart w:id="3" w:name="_Toc30820"/>
      <w:r>
        <w:rPr>
          <w:rFonts w:hint="eastAsia" w:ascii="仿宋_GB2312" w:eastAsia="仿宋_GB2312" w:hAnsiTheme="minorEastAsia" w:cstheme="minorEastAsia"/>
          <w:b w:val="0"/>
          <w:sz w:val="24"/>
          <w:lang w:eastAsia="zh-Hans"/>
        </w:rPr>
        <w:t>4.1.图书馆资源清洗系统</w:t>
      </w:r>
    </w:p>
    <w:tbl>
      <w:tblPr>
        <w:tblStyle w:val="6"/>
        <w:tblW w:w="5000" w:type="pct"/>
        <w:jc w:val="center"/>
        <w:tblLayout w:type="autofit"/>
        <w:tblCellMar>
          <w:top w:w="0" w:type="dxa"/>
          <w:left w:w="0" w:type="dxa"/>
          <w:bottom w:w="0" w:type="dxa"/>
          <w:right w:w="0" w:type="dxa"/>
        </w:tblCellMar>
      </w:tblPr>
      <w:tblGrid>
        <w:gridCol w:w="433"/>
        <w:gridCol w:w="1544"/>
        <w:gridCol w:w="9816"/>
        <w:gridCol w:w="996"/>
        <w:gridCol w:w="1194"/>
      </w:tblGrid>
      <w:tr w14:paraId="334E60E7">
        <w:tblPrEx>
          <w:tblCellMar>
            <w:top w:w="0" w:type="dxa"/>
            <w:left w:w="0" w:type="dxa"/>
            <w:bottom w:w="0" w:type="dxa"/>
            <w:right w:w="0" w:type="dxa"/>
          </w:tblCellMar>
        </w:tblPrEx>
        <w:trPr>
          <w:tblHeader/>
          <w:jc w:val="center"/>
        </w:trPr>
        <w:tc>
          <w:tcPr>
            <w:tcW w:w="155"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12353E6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552" w:type="pct"/>
            <w:tcBorders>
              <w:top w:val="single" w:color="auto" w:sz="8" w:space="0"/>
              <w:left w:val="single" w:color="auto" w:sz="8" w:space="0"/>
              <w:bottom w:val="single" w:color="auto" w:sz="4" w:space="0"/>
              <w:right w:val="single" w:color="000000" w:sz="8" w:space="0"/>
            </w:tcBorders>
            <w:shd w:val="clear" w:color="000000" w:fill="FFFFFF"/>
            <w:vAlign w:val="center"/>
          </w:tcPr>
          <w:p w14:paraId="1FA7F64C">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510" w:type="pct"/>
            <w:tcBorders>
              <w:top w:val="single" w:color="auto" w:sz="8" w:space="0"/>
              <w:left w:val="single" w:color="auto" w:sz="8" w:space="0"/>
              <w:bottom w:val="single" w:color="auto" w:sz="4" w:space="0"/>
              <w:right w:val="single" w:color="000000" w:sz="8" w:space="0"/>
            </w:tcBorders>
            <w:shd w:val="clear" w:color="000000" w:fill="FFFFFF"/>
            <w:vAlign w:val="center"/>
          </w:tcPr>
          <w:p w14:paraId="09A08546">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356" w:type="pct"/>
            <w:tcBorders>
              <w:top w:val="single" w:color="auto" w:sz="8" w:space="0"/>
              <w:left w:val="single" w:color="auto" w:sz="8" w:space="0"/>
              <w:bottom w:val="single" w:color="auto" w:sz="4" w:space="0"/>
              <w:right w:val="single" w:color="000000" w:sz="8" w:space="0"/>
            </w:tcBorders>
            <w:shd w:val="clear" w:color="000000" w:fill="FFFFFF"/>
            <w:vAlign w:val="center"/>
          </w:tcPr>
          <w:p w14:paraId="6E2582BA">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427" w:type="pct"/>
            <w:tcBorders>
              <w:top w:val="single" w:color="auto" w:sz="8" w:space="0"/>
              <w:left w:val="single" w:color="auto" w:sz="8" w:space="0"/>
              <w:bottom w:val="single" w:color="auto" w:sz="4" w:space="0"/>
              <w:right w:val="single" w:color="000000" w:sz="8" w:space="0"/>
            </w:tcBorders>
            <w:shd w:val="clear" w:color="000000" w:fill="FFFFFF"/>
            <w:vAlign w:val="center"/>
          </w:tcPr>
          <w:p w14:paraId="30151188">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签字确认</w:t>
            </w:r>
          </w:p>
        </w:tc>
      </w:tr>
      <w:tr w14:paraId="659FB44A">
        <w:tblPrEx>
          <w:tblCellMar>
            <w:top w:w="0" w:type="dxa"/>
            <w:left w:w="0" w:type="dxa"/>
            <w:bottom w:w="0" w:type="dxa"/>
            <w:right w:w="0" w:type="dxa"/>
          </w:tblCellMar>
        </w:tblPrEx>
        <w:trPr>
          <w:jc w:val="center"/>
        </w:trPr>
        <w:tc>
          <w:tcPr>
            <w:tcW w:w="155" w:type="pct"/>
            <w:tcBorders>
              <w:top w:val="nil"/>
              <w:left w:val="single" w:color="auto" w:sz="8" w:space="0"/>
              <w:bottom w:val="single" w:color="auto" w:sz="4" w:space="0"/>
              <w:right w:val="single" w:color="auto" w:sz="4" w:space="0"/>
            </w:tcBorders>
            <w:shd w:val="clear" w:color="000000" w:fill="FFFFFF"/>
            <w:tcMar>
              <w:top w:w="15" w:type="dxa"/>
              <w:left w:w="15" w:type="dxa"/>
              <w:bottom w:w="0" w:type="dxa"/>
              <w:right w:w="15" w:type="dxa"/>
            </w:tcMar>
            <w:vAlign w:val="center"/>
          </w:tcPr>
          <w:p w14:paraId="60E8573B">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552"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4C67600E">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图书馆</w:t>
            </w:r>
            <w:r>
              <w:rPr>
                <w:rFonts w:ascii="仿宋_GB2312" w:hAnsi="宋体" w:eastAsia="仿宋_GB2312"/>
                <w:bCs/>
                <w:kern w:val="0"/>
                <w:sz w:val="18"/>
                <w:szCs w:val="18"/>
              </w:rPr>
              <w:t>资</w:t>
            </w:r>
            <w:r>
              <w:rPr>
                <w:rFonts w:hint="eastAsia" w:ascii="仿宋_GB2312" w:hAnsi="宋体" w:eastAsia="仿宋_GB2312"/>
                <w:bCs/>
                <w:kern w:val="0"/>
                <w:sz w:val="18"/>
                <w:szCs w:val="18"/>
              </w:rPr>
              <w:t>源清洗系统</w:t>
            </w:r>
          </w:p>
        </w:tc>
        <w:tc>
          <w:tcPr>
            <w:tcW w:w="3510"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34DCC8F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1.数据治理系统</w:t>
            </w:r>
          </w:p>
          <w:p w14:paraId="151650F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（1）能够在校区本地化部署的数据治理系统，支持分布式部署和端到端的自动化采集操作。</w:t>
            </w:r>
          </w:p>
          <w:p w14:paraId="142D1E80">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（2）内置采集适配器，支持通过数据源参数配置定时采集任务，进行自动化采集，实现直连数据源的端到端的元数据采集。</w:t>
            </w:r>
          </w:p>
          <w:p w14:paraId="21F7D74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（3）提供带GUI界面的数据治理平台，可视化操作数据治理过程。</w:t>
            </w:r>
          </w:p>
          <w:p w14:paraId="3C09F91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（4）数据治理系统必须对多个数据库的同一条资源元数据进行合并去重，合并依据的字段文献类型可以自定义，支持多种字段组合去重规则的管理和应用。</w:t>
            </w:r>
          </w:p>
          <w:p w14:paraId="65A683D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（5）期刊文献应包括标题、作者、期刊名称、出版期号、ISSN等；学位论文应包括标题、作者、发表年份、发表机构等；图书应包括书名，ISBN、出版机构、作者、出版年份等。</w:t>
            </w:r>
          </w:p>
          <w:p w14:paraId="401D5CD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（6）去重过程中应自动选择质量最高的字段，最终合并成质量最高的资源数据，支持数据血缘分析功能。</w:t>
            </w:r>
          </w:p>
          <w:p w14:paraId="417FC71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（7）数据治理系统须实现全面的采集适配器支持，能满足图书馆自建数据的收割。采集支持的来源库包括MySql、Oracle、PostgreSQL、SQL Server等。</w:t>
            </w:r>
          </w:p>
          <w:p w14:paraId="5E05005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2.数据标准管理</w:t>
            </w:r>
          </w:p>
          <w:p w14:paraId="00EBCF2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根据学术数据特性，结合图书馆实际应用场景，基于元数据标准建立规范的数据应用标准，消除数据的不一致性，从根本上改善和解决系统的数据质量问题，消除数据孤岛效应，为数据的质量调优、数据追溯提供依据。</w:t>
            </w:r>
          </w:p>
          <w:p w14:paraId="7177873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3.元数据管理</w:t>
            </w:r>
          </w:p>
          <w:p w14:paraId="118B976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（1）元数据管理模块：系统需提供元数据管理模块，支持按文献类型划分，包括图书、期刊论文、多媒体等元数据管理模块。</w:t>
            </w:r>
          </w:p>
          <w:p w14:paraId="333C6658">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（2）独立管理：每个模块可以独立管理该文献类型的所有数据库与篇级元数据，确保各类文献数据的完整性、准确性和独立性。</w:t>
            </w:r>
          </w:p>
          <w:p w14:paraId="2F2F179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（3）元数据管理：支持元数据的新增、编辑、删除、屏蔽下架、数据对比等操作，满足用户对元数据的基本操作需求。</w:t>
            </w:r>
          </w:p>
          <w:p w14:paraId="3CA8924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（4）合并数据展示：对于由多个来源的数据合并而成的元数据，系统应在该元数据的详细信息中同时列举所有来源的名称和链接地址，以方便用户了解和追溯数据的来源。</w:t>
            </w:r>
          </w:p>
          <w:p w14:paraId="29FFD3BB">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4.数据清洗去重</w:t>
            </w:r>
          </w:p>
          <w:p w14:paraId="566A7A0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（1）能够针对不同的资源类型配置资源库，例如期刊文章、论文、图书、多媒体数据等。</w:t>
            </w:r>
          </w:p>
          <w:p w14:paraId="4DD8819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（2）支持根据指定的去重规则对资源库中的数据进行去重处理，例如根据标题、作者、摘要等信息进行去重。</w:t>
            </w:r>
          </w:p>
          <w:p w14:paraId="4E02681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（3）提供可视化界面，展示数据处理的过程，包括数据去重、数据清洗等操作的过程和结果。</w:t>
            </w:r>
          </w:p>
          <w:p w14:paraId="6BAA230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kern w:val="0"/>
                <w:sz w:val="18"/>
                <w:szCs w:val="18"/>
              </w:rPr>
              <w:t>5.系统要求</w:t>
            </w:r>
          </w:p>
          <w:p w14:paraId="790DDC5D">
            <w:pPr>
              <w:widowControl/>
              <w:tabs>
                <w:tab w:val="left" w:pos="312"/>
              </w:tabs>
              <w:jc w:val="left"/>
              <w:rPr>
                <w:rFonts w:hint="eastAsia" w:ascii="仿宋_GB2312" w:hAnsi="宋体" w:eastAsia="仿宋_GB2312" w:cs="宋体"/>
                <w:bCs/>
                <w:kern w:val="0"/>
                <w:sz w:val="18"/>
                <w:szCs w:val="18"/>
              </w:rPr>
            </w:pPr>
            <w:r>
              <w:rPr>
                <w:rFonts w:ascii="仿宋_GB2312" w:hAnsi="宋体" w:eastAsia="仿宋_GB2312" w:cs="宋体"/>
                <w:bCs/>
                <w:kern w:val="0"/>
                <w:sz w:val="18"/>
                <w:szCs w:val="18"/>
              </w:rPr>
              <w:t>（1）所有系统均可基于国产操作系统或其它操作系统运行，数据库运行均基于《数据库产品名录》内的产品。</w:t>
            </w:r>
          </w:p>
          <w:p w14:paraId="05F03AED">
            <w:pPr>
              <w:widowControl/>
              <w:tabs>
                <w:tab w:val="left" w:pos="312"/>
              </w:tabs>
              <w:jc w:val="left"/>
              <w:rPr>
                <w:rFonts w:hint="eastAsia" w:ascii="仿宋_GB2312" w:hAnsi="宋体" w:eastAsia="仿宋_GB2312"/>
                <w:bCs/>
                <w:kern w:val="0"/>
                <w:sz w:val="18"/>
                <w:szCs w:val="18"/>
              </w:rPr>
            </w:pPr>
            <w:r>
              <w:rPr>
                <w:rFonts w:ascii="仿宋_GB2312" w:hAnsi="宋体" w:eastAsia="仿宋_GB2312" w:cs="宋体"/>
                <w:bCs/>
                <w:kern w:val="0"/>
                <w:sz w:val="18"/>
                <w:szCs w:val="18"/>
              </w:rPr>
              <w:t>（2）与</w:t>
            </w:r>
            <w:r>
              <w:rPr>
                <w:rFonts w:hint="eastAsia" w:ascii="仿宋_GB2312" w:hAnsi="宋体" w:eastAsia="仿宋_GB2312" w:cs="宋体"/>
                <w:bCs/>
                <w:kern w:val="0"/>
                <w:sz w:val="18"/>
                <w:szCs w:val="18"/>
              </w:rPr>
              <w:t>大学</w:t>
            </w:r>
            <w:r>
              <w:rPr>
                <w:rFonts w:ascii="仿宋_GB2312" w:hAnsi="宋体" w:eastAsia="仿宋_GB2312" w:cs="宋体"/>
                <w:bCs/>
                <w:kern w:val="0"/>
                <w:sz w:val="18"/>
                <w:szCs w:val="18"/>
              </w:rPr>
              <w:t>、图书馆其它系统能够实现接口对接，数据传输。同时预留接口，方便与其他系统或数据库进行集成，并且可以方便地进行升级和维护。</w:t>
            </w:r>
          </w:p>
        </w:tc>
        <w:tc>
          <w:tcPr>
            <w:tcW w:w="356"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6C114AFF">
            <w:pPr>
              <w:widowControl/>
              <w:jc w:val="center"/>
              <w:rPr>
                <w:rFonts w:hint="eastAsia" w:ascii="仿宋_GB2312" w:hAnsi="宋体" w:eastAsia="仿宋_GB2312"/>
                <w:bCs/>
                <w:kern w:val="0"/>
                <w:sz w:val="18"/>
                <w:szCs w:val="18"/>
              </w:rPr>
            </w:pPr>
          </w:p>
        </w:tc>
        <w:tc>
          <w:tcPr>
            <w:tcW w:w="427" w:type="pct"/>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center"/>
          </w:tcPr>
          <w:p w14:paraId="6E76FB9D">
            <w:pPr>
              <w:widowControl/>
              <w:jc w:val="center"/>
              <w:rPr>
                <w:rFonts w:hint="eastAsia" w:ascii="仿宋_GB2312" w:hAnsi="宋体" w:eastAsia="仿宋_GB2312"/>
                <w:bCs/>
                <w:kern w:val="0"/>
                <w:sz w:val="18"/>
                <w:szCs w:val="18"/>
              </w:rPr>
            </w:pPr>
          </w:p>
        </w:tc>
      </w:tr>
    </w:tbl>
    <w:p w14:paraId="3AD45745">
      <w:pPr>
        <w:pStyle w:val="4"/>
        <w:spacing w:before="260" w:after="260"/>
        <w:rPr>
          <w:rFonts w:hint="eastAsia" w:ascii="仿宋_GB2312" w:eastAsia="仿宋_GB2312" w:hAnsiTheme="minorEastAsia" w:cstheme="minorEastAsia"/>
          <w:b w:val="0"/>
          <w:sz w:val="24"/>
          <w:lang w:eastAsia="zh-Hans"/>
        </w:rPr>
      </w:pPr>
      <w:r>
        <w:rPr>
          <w:rFonts w:hint="eastAsia" w:ascii="仿宋_GB2312" w:eastAsia="仿宋_GB2312" w:hAnsiTheme="minorEastAsia" w:cstheme="minorEastAsia"/>
          <w:b w:val="0"/>
          <w:sz w:val="24"/>
        </w:rPr>
        <w:t>4.2.</w:t>
      </w:r>
      <w:r>
        <w:rPr>
          <w:rFonts w:hint="eastAsia" w:ascii="仿宋_GB2312" w:eastAsia="仿宋_GB2312" w:hAnsiTheme="minorEastAsia" w:cstheme="minorEastAsia"/>
          <w:b w:val="0"/>
          <w:sz w:val="24"/>
          <w:lang w:eastAsia="zh-Hans"/>
        </w:rPr>
        <w:t>图书馆资源存储系统</w:t>
      </w:r>
    </w:p>
    <w:tbl>
      <w:tblPr>
        <w:tblStyle w:val="6"/>
        <w:tblW w:w="5000" w:type="pct"/>
        <w:jc w:val="center"/>
        <w:tblLayout w:type="autofit"/>
        <w:tblCellMar>
          <w:top w:w="0" w:type="dxa"/>
          <w:left w:w="0" w:type="dxa"/>
          <w:bottom w:w="0" w:type="dxa"/>
          <w:right w:w="0" w:type="dxa"/>
        </w:tblCellMar>
      </w:tblPr>
      <w:tblGrid>
        <w:gridCol w:w="433"/>
        <w:gridCol w:w="1544"/>
        <w:gridCol w:w="10373"/>
        <w:gridCol w:w="794"/>
        <w:gridCol w:w="839"/>
      </w:tblGrid>
      <w:tr w14:paraId="3B9073C4">
        <w:tblPrEx>
          <w:tblCellMar>
            <w:top w:w="0" w:type="dxa"/>
            <w:left w:w="0" w:type="dxa"/>
            <w:bottom w:w="0" w:type="dxa"/>
            <w:right w:w="0" w:type="dxa"/>
          </w:tblCellMar>
        </w:tblPrEx>
        <w:trPr>
          <w:tblHeader/>
          <w:jc w:val="center"/>
        </w:trPr>
        <w:tc>
          <w:tcPr>
            <w:tcW w:w="155"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7F24CA7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552" w:type="pct"/>
            <w:tcBorders>
              <w:top w:val="single" w:color="auto" w:sz="8" w:space="0"/>
              <w:left w:val="single" w:color="auto" w:sz="8" w:space="0"/>
              <w:bottom w:val="single" w:color="auto" w:sz="4" w:space="0"/>
              <w:right w:val="single" w:color="000000" w:sz="8" w:space="0"/>
            </w:tcBorders>
            <w:shd w:val="clear" w:color="000000" w:fill="FFFFFF"/>
            <w:vAlign w:val="center"/>
          </w:tcPr>
          <w:p w14:paraId="4178B769">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709" w:type="pct"/>
            <w:tcBorders>
              <w:top w:val="single" w:color="auto" w:sz="8" w:space="0"/>
              <w:left w:val="single" w:color="auto" w:sz="8" w:space="0"/>
              <w:bottom w:val="single" w:color="auto" w:sz="4" w:space="0"/>
              <w:right w:val="single" w:color="000000" w:sz="8" w:space="0"/>
            </w:tcBorders>
            <w:shd w:val="clear" w:color="000000" w:fill="FFFFFF"/>
            <w:vAlign w:val="center"/>
          </w:tcPr>
          <w:p w14:paraId="4F21122F">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284" w:type="pct"/>
            <w:tcBorders>
              <w:top w:val="single" w:color="auto" w:sz="8" w:space="0"/>
              <w:left w:val="single" w:color="auto" w:sz="8" w:space="0"/>
              <w:bottom w:val="single" w:color="auto" w:sz="4" w:space="0"/>
              <w:right w:val="single" w:color="000000" w:sz="8" w:space="0"/>
            </w:tcBorders>
            <w:shd w:val="clear" w:color="000000" w:fill="FFFFFF"/>
            <w:vAlign w:val="center"/>
          </w:tcPr>
          <w:p w14:paraId="42C36326">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300" w:type="pct"/>
            <w:tcBorders>
              <w:top w:val="single" w:color="auto" w:sz="8" w:space="0"/>
              <w:left w:val="single" w:color="auto" w:sz="8" w:space="0"/>
              <w:bottom w:val="single" w:color="auto" w:sz="4" w:space="0"/>
              <w:right w:val="single" w:color="000000" w:sz="8" w:space="0"/>
            </w:tcBorders>
            <w:shd w:val="clear" w:color="000000" w:fill="FFFFFF"/>
            <w:vAlign w:val="center"/>
          </w:tcPr>
          <w:p w14:paraId="5CBF8CFB">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w:t>
            </w:r>
            <w:r>
              <w:rPr>
                <w:rFonts w:ascii="仿宋_GB2312" w:hAnsi="宋体" w:eastAsia="仿宋_GB2312"/>
                <w:bCs/>
                <w:kern w:val="0"/>
                <w:sz w:val="18"/>
                <w:szCs w:val="18"/>
              </w:rPr>
              <w:t>确认</w:t>
            </w:r>
          </w:p>
        </w:tc>
      </w:tr>
      <w:tr w14:paraId="6F554565">
        <w:tblPrEx>
          <w:tblCellMar>
            <w:top w:w="0" w:type="dxa"/>
            <w:left w:w="0" w:type="dxa"/>
            <w:bottom w:w="0" w:type="dxa"/>
            <w:right w:w="0" w:type="dxa"/>
          </w:tblCellMar>
        </w:tblPrEx>
        <w:trPr>
          <w:jc w:val="center"/>
        </w:trPr>
        <w:tc>
          <w:tcPr>
            <w:tcW w:w="155" w:type="pct"/>
            <w:tcBorders>
              <w:top w:val="nil"/>
              <w:left w:val="single" w:color="auto" w:sz="8" w:space="0"/>
              <w:bottom w:val="single" w:color="auto" w:sz="4" w:space="0"/>
              <w:right w:val="single" w:color="auto" w:sz="4" w:space="0"/>
            </w:tcBorders>
            <w:shd w:val="clear" w:color="000000" w:fill="FFFFFF"/>
            <w:tcMar>
              <w:top w:w="15" w:type="dxa"/>
              <w:left w:w="15" w:type="dxa"/>
              <w:bottom w:w="0" w:type="dxa"/>
              <w:right w:w="15" w:type="dxa"/>
            </w:tcMar>
            <w:vAlign w:val="center"/>
          </w:tcPr>
          <w:p w14:paraId="2FB60656">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552"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751DECCD">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图书馆资源存储</w:t>
            </w:r>
          </w:p>
        </w:tc>
        <w:tc>
          <w:tcPr>
            <w:tcW w:w="3709"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1812735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bCs/>
                <w:kern w:val="0"/>
                <w:sz w:val="18"/>
                <w:szCs w:val="18"/>
              </w:rPr>
              <w:t>1</w:t>
            </w:r>
            <w:r>
              <w:rPr>
                <w:rFonts w:hint="eastAsia" w:ascii="仿宋_GB2312" w:hAnsi="宋体" w:eastAsia="仿宋_GB2312" w:cs="宋体"/>
                <w:bCs/>
                <w:kern w:val="0"/>
                <w:sz w:val="18"/>
                <w:szCs w:val="18"/>
              </w:rPr>
              <w:t>.大数据仓储</w:t>
            </w:r>
          </w:p>
          <w:p w14:paraId="16DF24ED">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（1）本地元数据仓储库：系统应能够实现本地元数据仓储库的建设，支持元数据的存储和检索。</w:t>
            </w:r>
          </w:p>
          <w:p w14:paraId="09984F8C">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元数据存储标准：元数据的存储标准应遵循国际标准，包括至少以下字段：标题、副标题、作者、作者机构、出版单位、出版时间、封面、关键词、摘要、ISSN/ISBN、学科、DOI、来源、全文路径等。同时，系统应支持对字段的深度扩展。</w:t>
            </w:r>
          </w:p>
          <w:p w14:paraId="3330713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（3）数据来源：系统应支持多种数据来源，包括商用数据库、自建资源库、自建系统、图书馆纸质资源管理系统等。</w:t>
            </w:r>
          </w:p>
          <w:p w14:paraId="6474567F">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（4）统一元数据框架：系统应能够根据各类数据源的情况，制定统一的元数据框架，建立统一元数据仓储。</w:t>
            </w:r>
          </w:p>
          <w:p w14:paraId="5E272837">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（5）数据量支持：系统应能支持至少10亿数据的存储和检索。</w:t>
            </w:r>
          </w:p>
          <w:p w14:paraId="1F3EBD45">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（6）本地镜像部署和本地化数据治理能力：系统应具备本地镜像部署和本地化数据治理能力，能独立建立本地元数据仓储库。</w:t>
            </w:r>
          </w:p>
          <w:p w14:paraId="44EFBA23">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2.数据资产管理</w:t>
            </w:r>
          </w:p>
          <w:p w14:paraId="3BC4A1CA">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（1）支持动态增加资源库信息，包括资源库名称、描述、连接信息等。</w:t>
            </w:r>
          </w:p>
          <w:p w14:paraId="017F8A65">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（2）可设置标识字段进行数据资产管理，并与智能馆务系统对接。</w:t>
            </w:r>
          </w:p>
          <w:p w14:paraId="14ECE729">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（3）支持针对不同的资源库设置字段映射关系，以便将源数据和目标数据之间的字段进行映射和转换。</w:t>
            </w:r>
          </w:p>
          <w:p w14:paraId="5F6CD8A6">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3.永久专题管理</w:t>
            </w:r>
          </w:p>
          <w:p w14:paraId="6DC04BF4">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（1）支持永久性专题数据导出功能，允许用户通过条件组配、表达式编写、时间筛选、类型控制等多种方式筛选出专题相关数据。</w:t>
            </w:r>
          </w:p>
          <w:p w14:paraId="052ECA87">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（2）提供二次过滤筛选功能，使用户可以对初步筛选出的数据进行进一步的筛选、排序、分组等操作，以满足更具体的需求。</w:t>
            </w:r>
          </w:p>
          <w:p w14:paraId="6F1C4C52">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（3）支持元数据及全文打包导出功能，可以将查询结果转换为相应的数据格式，并打包成可下载的文件。</w:t>
            </w:r>
          </w:p>
          <w:p w14:paraId="4438D441">
            <w:pPr>
              <w:widowControl/>
              <w:tabs>
                <w:tab w:val="left" w:pos="312"/>
              </w:tabs>
              <w:jc w:val="left"/>
              <w:rPr>
                <w:rFonts w:hint="eastAsia" w:ascii="仿宋_GB2312" w:hAnsi="宋体" w:eastAsia="仿宋_GB2312" w:cs="宋体"/>
                <w:bCs/>
                <w:kern w:val="0"/>
                <w:sz w:val="18"/>
                <w:szCs w:val="18"/>
              </w:rPr>
            </w:pPr>
            <w:r>
              <w:rPr>
                <w:rFonts w:hint="eastAsia" w:ascii="仿宋_GB2312" w:hAnsi="宋体" w:eastAsia="仿宋_GB2312" w:cs="宋体"/>
                <w:bCs/>
                <w:kern w:val="0"/>
                <w:sz w:val="18"/>
                <w:szCs w:val="18"/>
              </w:rPr>
              <w:t>（4）导出的文件格式支持Excel数据格式，系统应能够确保导出数据的完整性和准确性，保证数据质量。</w:t>
            </w:r>
          </w:p>
          <w:p w14:paraId="4009F55E">
            <w:pPr>
              <w:widowControl/>
              <w:tabs>
                <w:tab w:val="left" w:pos="312"/>
              </w:tabs>
              <w:jc w:val="left"/>
              <w:rPr>
                <w:rFonts w:hint="eastAsia" w:ascii="仿宋_GB2312" w:hAnsi="宋体" w:eastAsia="仿宋_GB2312" w:cs="宋体"/>
                <w:kern w:val="0"/>
                <w:sz w:val="18"/>
                <w:szCs w:val="18"/>
              </w:rPr>
            </w:pPr>
            <w:r>
              <w:rPr>
                <w:rFonts w:hint="eastAsia" w:ascii="仿宋_GB2312" w:hAnsi="宋体" w:eastAsia="仿宋_GB2312" w:cs="宋体"/>
                <w:kern w:val="0"/>
                <w:sz w:val="18"/>
                <w:szCs w:val="18"/>
              </w:rPr>
              <w:t>4.系统要求</w:t>
            </w:r>
          </w:p>
          <w:p w14:paraId="5916E573">
            <w:pPr>
              <w:widowControl/>
              <w:tabs>
                <w:tab w:val="left" w:pos="312"/>
              </w:tabs>
              <w:jc w:val="left"/>
              <w:rPr>
                <w:rFonts w:hint="eastAsia" w:ascii="仿宋_GB2312" w:hAnsi="宋体" w:eastAsia="仿宋_GB2312" w:cs="宋体"/>
                <w:bCs/>
                <w:kern w:val="0"/>
                <w:sz w:val="18"/>
                <w:szCs w:val="18"/>
              </w:rPr>
            </w:pPr>
            <w:r>
              <w:rPr>
                <w:rFonts w:ascii="仿宋_GB2312" w:hAnsi="宋体" w:eastAsia="仿宋_GB2312" w:cs="宋体"/>
                <w:bCs/>
                <w:kern w:val="0"/>
                <w:sz w:val="18"/>
                <w:szCs w:val="18"/>
              </w:rPr>
              <w:t>（1）所有系统均可基于国产操作系统或其它操作系统运行，数据库运行均基于《数据库产品名录》内的产品。</w:t>
            </w:r>
          </w:p>
          <w:p w14:paraId="2BA8D73B">
            <w:pPr>
              <w:widowControl/>
              <w:tabs>
                <w:tab w:val="left" w:pos="312"/>
              </w:tabs>
              <w:jc w:val="left"/>
              <w:rPr>
                <w:rFonts w:hint="eastAsia" w:ascii="仿宋_GB2312" w:hAnsi="宋体" w:eastAsia="仿宋_GB2312"/>
                <w:bCs/>
                <w:kern w:val="0"/>
                <w:sz w:val="18"/>
                <w:szCs w:val="18"/>
              </w:rPr>
            </w:pPr>
            <w:r>
              <w:rPr>
                <w:rFonts w:ascii="仿宋_GB2312" w:hAnsi="宋体" w:eastAsia="仿宋_GB2312" w:cs="宋体"/>
                <w:bCs/>
                <w:kern w:val="0"/>
                <w:sz w:val="18"/>
                <w:szCs w:val="18"/>
              </w:rPr>
              <w:t>（2）与</w:t>
            </w:r>
            <w:r>
              <w:rPr>
                <w:rFonts w:hint="eastAsia" w:ascii="仿宋_GB2312" w:hAnsi="宋体" w:eastAsia="仿宋_GB2312" w:cs="宋体"/>
                <w:bCs/>
                <w:kern w:val="0"/>
                <w:sz w:val="18"/>
                <w:szCs w:val="18"/>
              </w:rPr>
              <w:t>大学</w:t>
            </w:r>
            <w:r>
              <w:rPr>
                <w:rFonts w:ascii="仿宋_GB2312" w:hAnsi="宋体" w:eastAsia="仿宋_GB2312" w:cs="宋体"/>
                <w:bCs/>
                <w:kern w:val="0"/>
                <w:sz w:val="18"/>
                <w:szCs w:val="18"/>
              </w:rPr>
              <w:t>、图书馆其它系统能够实现接口对接，数据传输。同时预留接口，方便与其他系统或数据库进行集成，并且可以方便地进行升级和维护。</w:t>
            </w:r>
          </w:p>
        </w:tc>
        <w:tc>
          <w:tcPr>
            <w:tcW w:w="284"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0755CC93">
            <w:pPr>
              <w:widowControl/>
              <w:jc w:val="center"/>
              <w:rPr>
                <w:rFonts w:hint="eastAsia" w:ascii="仿宋_GB2312" w:hAnsi="宋体" w:eastAsia="仿宋_GB2312"/>
                <w:bCs/>
                <w:kern w:val="0"/>
                <w:sz w:val="18"/>
                <w:szCs w:val="18"/>
              </w:rPr>
            </w:pPr>
          </w:p>
        </w:tc>
        <w:tc>
          <w:tcPr>
            <w:tcW w:w="300" w:type="pct"/>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center"/>
          </w:tcPr>
          <w:p w14:paraId="0195EA97">
            <w:pPr>
              <w:widowControl/>
              <w:jc w:val="center"/>
              <w:rPr>
                <w:rFonts w:hint="eastAsia" w:ascii="仿宋_GB2312" w:hAnsi="宋体" w:eastAsia="仿宋_GB2312"/>
                <w:bCs/>
                <w:kern w:val="0"/>
                <w:sz w:val="18"/>
                <w:szCs w:val="18"/>
              </w:rPr>
            </w:pPr>
          </w:p>
        </w:tc>
      </w:tr>
    </w:tbl>
    <w:p w14:paraId="355429C8">
      <w:pPr>
        <w:pStyle w:val="4"/>
        <w:spacing w:before="260" w:after="260"/>
        <w:rPr>
          <w:rFonts w:hint="eastAsia" w:ascii="仿宋_GB2312" w:eastAsia="仿宋_GB2312" w:hAnsiTheme="minorEastAsia" w:cstheme="minorEastAsia"/>
          <w:b w:val="0"/>
          <w:sz w:val="24"/>
          <w:lang w:eastAsia="zh-Hans"/>
        </w:rPr>
      </w:pPr>
      <w:r>
        <w:rPr>
          <w:rFonts w:hint="eastAsia" w:ascii="仿宋_GB2312" w:eastAsia="仿宋_GB2312" w:hAnsiTheme="minorEastAsia" w:cstheme="minorEastAsia"/>
          <w:b w:val="0"/>
          <w:sz w:val="24"/>
        </w:rPr>
        <w:t>4.3.</w:t>
      </w:r>
      <w:r>
        <w:rPr>
          <w:rFonts w:hint="eastAsia" w:ascii="仿宋_GB2312" w:eastAsia="仿宋_GB2312" w:hAnsiTheme="minorEastAsia" w:cstheme="minorEastAsia"/>
          <w:b w:val="0"/>
          <w:sz w:val="24"/>
          <w:lang w:eastAsia="zh-Hans"/>
        </w:rPr>
        <w:t>图书馆资源管理</w:t>
      </w:r>
      <w:bookmarkEnd w:id="3"/>
      <w:r>
        <w:rPr>
          <w:rFonts w:hint="eastAsia" w:ascii="仿宋_GB2312" w:eastAsia="仿宋_GB2312" w:hAnsiTheme="minorEastAsia" w:cstheme="minorEastAsia"/>
          <w:b w:val="0"/>
          <w:sz w:val="24"/>
          <w:lang w:eastAsia="zh-Hans"/>
        </w:rPr>
        <w:t>系统</w:t>
      </w:r>
    </w:p>
    <w:tbl>
      <w:tblPr>
        <w:tblStyle w:val="6"/>
        <w:tblW w:w="5000" w:type="pct"/>
        <w:jc w:val="center"/>
        <w:tblLayout w:type="autofit"/>
        <w:tblCellMar>
          <w:top w:w="0" w:type="dxa"/>
          <w:left w:w="0" w:type="dxa"/>
          <w:bottom w:w="0" w:type="dxa"/>
          <w:right w:w="0" w:type="dxa"/>
        </w:tblCellMar>
      </w:tblPr>
      <w:tblGrid>
        <w:gridCol w:w="431"/>
        <w:gridCol w:w="1538"/>
        <w:gridCol w:w="10378"/>
        <w:gridCol w:w="794"/>
        <w:gridCol w:w="842"/>
      </w:tblGrid>
      <w:tr w14:paraId="62C2146C">
        <w:tblPrEx>
          <w:tblCellMar>
            <w:top w:w="0" w:type="dxa"/>
            <w:left w:w="0" w:type="dxa"/>
            <w:bottom w:w="0" w:type="dxa"/>
            <w:right w:w="0" w:type="dxa"/>
          </w:tblCellMar>
        </w:tblPrEx>
        <w:trPr>
          <w:tblHeader/>
          <w:jc w:val="center"/>
        </w:trPr>
        <w:tc>
          <w:tcPr>
            <w:tcW w:w="154" w:type="pct"/>
            <w:tcBorders>
              <w:top w:val="single" w:color="auto" w:sz="8" w:space="0"/>
              <w:left w:val="single" w:color="auto" w:sz="8" w:space="0"/>
              <w:bottom w:val="single" w:color="auto" w:sz="4" w:space="0"/>
              <w:right w:val="single" w:color="000000" w:sz="8" w:space="0"/>
            </w:tcBorders>
            <w:shd w:val="clear" w:color="000000" w:fill="FFFFFF"/>
            <w:tcMar>
              <w:top w:w="15" w:type="dxa"/>
              <w:left w:w="15" w:type="dxa"/>
              <w:bottom w:w="0" w:type="dxa"/>
              <w:right w:w="15" w:type="dxa"/>
            </w:tcMar>
            <w:vAlign w:val="center"/>
          </w:tcPr>
          <w:p w14:paraId="78D3A6D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550" w:type="pct"/>
            <w:tcBorders>
              <w:top w:val="single" w:color="auto" w:sz="8" w:space="0"/>
              <w:left w:val="single" w:color="auto" w:sz="8" w:space="0"/>
              <w:bottom w:val="single" w:color="auto" w:sz="4" w:space="0"/>
              <w:right w:val="single" w:color="000000" w:sz="8" w:space="0"/>
            </w:tcBorders>
            <w:shd w:val="clear" w:color="000000" w:fill="FFFFFF"/>
            <w:vAlign w:val="center"/>
          </w:tcPr>
          <w:p w14:paraId="6AB53184">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711" w:type="pct"/>
            <w:tcBorders>
              <w:top w:val="single" w:color="auto" w:sz="8" w:space="0"/>
              <w:left w:val="single" w:color="auto" w:sz="8" w:space="0"/>
              <w:bottom w:val="single" w:color="auto" w:sz="4" w:space="0"/>
              <w:right w:val="single" w:color="000000" w:sz="8" w:space="0"/>
            </w:tcBorders>
            <w:shd w:val="clear" w:color="000000" w:fill="FFFFFF"/>
            <w:vAlign w:val="center"/>
          </w:tcPr>
          <w:p w14:paraId="44398EDD">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284" w:type="pct"/>
            <w:tcBorders>
              <w:top w:val="single" w:color="auto" w:sz="8" w:space="0"/>
              <w:left w:val="single" w:color="auto" w:sz="8" w:space="0"/>
              <w:bottom w:val="single" w:color="auto" w:sz="4" w:space="0"/>
              <w:right w:val="single" w:color="000000" w:sz="8" w:space="0"/>
            </w:tcBorders>
            <w:shd w:val="clear" w:color="000000" w:fill="FFFFFF"/>
            <w:vAlign w:val="center"/>
          </w:tcPr>
          <w:p w14:paraId="6F2A7C10">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参与单位</w:t>
            </w:r>
          </w:p>
        </w:tc>
        <w:tc>
          <w:tcPr>
            <w:tcW w:w="301" w:type="pct"/>
            <w:tcBorders>
              <w:top w:val="single" w:color="auto" w:sz="8" w:space="0"/>
              <w:left w:val="single" w:color="auto" w:sz="8" w:space="0"/>
              <w:bottom w:val="single" w:color="auto" w:sz="4" w:space="0"/>
              <w:right w:val="single" w:color="000000" w:sz="8" w:space="0"/>
            </w:tcBorders>
            <w:shd w:val="clear" w:color="000000" w:fill="FFFFFF"/>
            <w:vAlign w:val="center"/>
          </w:tcPr>
          <w:p w14:paraId="4BE67277">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w:t>
            </w:r>
            <w:r>
              <w:rPr>
                <w:rFonts w:ascii="仿宋_GB2312" w:hAnsi="宋体" w:eastAsia="仿宋_GB2312"/>
                <w:bCs/>
                <w:kern w:val="0"/>
                <w:sz w:val="18"/>
                <w:szCs w:val="18"/>
              </w:rPr>
              <w:t>确认</w:t>
            </w:r>
          </w:p>
        </w:tc>
      </w:tr>
      <w:tr w14:paraId="6D320391">
        <w:tblPrEx>
          <w:tblCellMar>
            <w:top w:w="0" w:type="dxa"/>
            <w:left w:w="0" w:type="dxa"/>
            <w:bottom w:w="0" w:type="dxa"/>
            <w:right w:w="0" w:type="dxa"/>
          </w:tblCellMar>
        </w:tblPrEx>
        <w:trPr>
          <w:jc w:val="center"/>
        </w:trPr>
        <w:tc>
          <w:tcPr>
            <w:tcW w:w="154" w:type="pct"/>
            <w:tcBorders>
              <w:top w:val="nil"/>
              <w:left w:val="single" w:color="auto" w:sz="8" w:space="0"/>
              <w:bottom w:val="single" w:color="auto" w:sz="4" w:space="0"/>
              <w:right w:val="single" w:color="auto" w:sz="4" w:space="0"/>
            </w:tcBorders>
            <w:shd w:val="clear" w:color="000000" w:fill="FFFFFF"/>
            <w:tcMar>
              <w:top w:w="15" w:type="dxa"/>
              <w:left w:w="15" w:type="dxa"/>
              <w:bottom w:w="0" w:type="dxa"/>
              <w:right w:w="15" w:type="dxa"/>
            </w:tcMar>
            <w:vAlign w:val="center"/>
          </w:tcPr>
          <w:p w14:paraId="4A96613B">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550"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061CE0CA">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图书馆资源管理系统</w:t>
            </w:r>
          </w:p>
        </w:tc>
        <w:tc>
          <w:tcPr>
            <w:tcW w:w="3711"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1CE85C6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1.纸电一体管理</w:t>
            </w:r>
          </w:p>
          <w:p w14:paraId="192CDB8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（1）支持多种类型文献元数据管理，包括期刊文献元数据、论文元数据、图书元数据、纸本图书以及多媒体元数据。</w:t>
            </w:r>
          </w:p>
          <w:p w14:paraId="68EE2E7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（2）提供基本信息的增删查改操作，包括元数据的添加、修改、删除和查询。</w:t>
            </w:r>
          </w:p>
          <w:p w14:paraId="1479916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（3）支持元数据属性的管理，包括属性的增加、修改、删除和查询。具备元数据更新状态的管理功能，能够跟踪元数据的最新更新时间、更新内容等信息。</w:t>
            </w:r>
          </w:p>
          <w:p w14:paraId="16CCE8A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（4）提供元数据的屏蔽功能，可以根据需要将特定元数据进行隐藏或屏蔽。</w:t>
            </w:r>
          </w:p>
          <w:p w14:paraId="4E061147">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（5）支持数据对比功能，可以对比不同版本的元数据并进行分析。</w:t>
            </w:r>
          </w:p>
          <w:p w14:paraId="59D1BCF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（6）利用大数据处理能力，实现图书馆内各种电子资源元数据的精细化存储与管理，并将纸本文献资源元数据整合进来，实现图书馆的纸电文献资源的一站式集中管理。</w:t>
            </w:r>
          </w:p>
          <w:p w14:paraId="5E4C1AD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（7）提供多种应用工具帮助图书馆轻松管理海量资源数据，例如数据导入导出工具、数据统计工具、数据可视化工具等。</w:t>
            </w:r>
          </w:p>
          <w:p w14:paraId="28AE774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2.运行数据管理</w:t>
            </w:r>
          </w:p>
          <w:p w14:paraId="4822E271">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（1）支持从单一的日志数据分析扩展到图书馆全面运行数据管理，实现读者行为数据和图书馆事实数据的全流程管理，包括收集、规范和统计。</w:t>
            </w:r>
          </w:p>
          <w:p w14:paraId="7D55E85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（2）管理读者行为数据类型，自动收集各类行为数据，类型包括但不限于借阅日志、门禁日志、文献下载日志、数据库访问日志、网站访问日志、预约日志等。</w:t>
            </w:r>
          </w:p>
          <w:p w14:paraId="63BFED0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（3）提供读者行为日志统计功能，支持按日期、资源、学科、专业、读者学历等维度进行统计，包括图书借阅量、入馆量、文献点击量、数据库点击量、网站访问量、空间预约量等。</w:t>
            </w:r>
          </w:p>
          <w:p w14:paraId="54F637F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（4）基于读者行为数据进行热门文献、热门检索、活跃读者和热点时段的分析，为图书馆的资源建设和服务提供指导。</w:t>
            </w:r>
          </w:p>
          <w:p w14:paraId="04CE88B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（5）记录管理图书馆事实数据，包括空间设备数据、人事数据、业务统计数据等，帮助图书馆更好地了解自身的运行情况。</w:t>
            </w:r>
          </w:p>
          <w:p w14:paraId="02601AAB">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3.用户数据管理</w:t>
            </w:r>
          </w:p>
          <w:p w14:paraId="3BEBD67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（1）读者账号的智能化管理：具备读者账号的智能化管理功能，可以通过与学校信息中心或图书馆集成服务系统对接账号信息，或人工批量导入账号信息。</w:t>
            </w:r>
          </w:p>
          <w:p w14:paraId="618F132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（2）除了基本的账号增加、删除和修改等基本操作外，系统还应支持读者信息的扩展，包括但不限于基本信息、联系方式、借阅历史等。</w:t>
            </w:r>
          </w:p>
          <w:p w14:paraId="48DECF68">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（3）根据不同类型的读者账号进行权限区分，例如学生、教师、馆员等不同角色的读者账号应具有不同的权限。</w:t>
            </w:r>
          </w:p>
          <w:p w14:paraId="26C7958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（4）支持批量账号信息的变动，包括但不限于读者信息的批量修改、借阅历史的批量更新等。</w:t>
            </w:r>
          </w:p>
          <w:p w14:paraId="51BF7611">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（5）账号异常提醒功能，例如账号密码错误次数过多、账号长时间未使用等异常情况，应及时通知相关负责人或读者本人。</w:t>
            </w:r>
          </w:p>
          <w:p w14:paraId="39213BD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（6）可收集读者使用图书馆服务的相关数据，并实现文献的传递与索取。</w:t>
            </w:r>
          </w:p>
          <w:p w14:paraId="4B01CD3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4.数据接入管理</w:t>
            </w:r>
          </w:p>
          <w:p w14:paraId="1F2AD1E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（1）系统支持第三方平台使用本系统的数据接入应用，能够通过对接第三方产品的数据库，接入用户使用数据，包括但不限于用户的检索、阅读、下载、收藏等数据。</w:t>
            </w:r>
          </w:p>
          <w:p w14:paraId="48C48994">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（2）支持第三方应用平台调用本产品的行为统计插件，以实现用户行为数据的采集。</w:t>
            </w:r>
          </w:p>
          <w:p w14:paraId="36DEBEB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（3）系统应采用加密技术、安全认证等措施来保证数据传输和存储过程中的安全性，以保护用户数据的安全。</w:t>
            </w:r>
          </w:p>
          <w:p w14:paraId="1A485FE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（4）统应对接入的数据有一定的数据质量要求，包括数据的完整性、准确性、一致性等，以保证分析结果的可靠性。</w:t>
            </w:r>
          </w:p>
          <w:p w14:paraId="65941BC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（5）系统应具备较高的稳定性，能够保证长时间的高效运行，避免因系统故障而影响用户的使用体验。</w:t>
            </w:r>
          </w:p>
          <w:p w14:paraId="7DFB5D1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5.数据开放平台</w:t>
            </w:r>
          </w:p>
          <w:p w14:paraId="2F3012F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（1）系统应提供数据开放平台应用，能够通过开放平台向学校其它部门提供多维度的图书馆数据。</w:t>
            </w:r>
          </w:p>
          <w:p w14:paraId="6254DAF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（2）开放平台应提供多种类型的数据，包括但不限于用户行为数据、纸本图书数据、电子资源数据、丰富的应用等。</w:t>
            </w:r>
          </w:p>
          <w:p w14:paraId="6C60D68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（3）开放平台应提供标准的数据接口，以便学校其它部门能够方便地获取所需数据。</w:t>
            </w:r>
          </w:p>
          <w:p w14:paraId="5A13A82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（4）开放平台应具备向学校其它部门开放图书馆的服务能力，例如馆际互借、文献传递、联合参考咨询等。</w:t>
            </w:r>
          </w:p>
          <w:p w14:paraId="3E05C011">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（5）放平台应具备较高的稳定性，能够保证长时间的高效运行，避免因系统故障而影响图书馆的服务价值。</w:t>
            </w:r>
          </w:p>
          <w:p w14:paraId="3083C240">
            <w:pPr>
              <w:widowControl/>
              <w:jc w:val="left"/>
              <w:rPr>
                <w:rFonts w:hint="eastAsia" w:ascii="仿宋_GB2312" w:hAnsi="宋体" w:eastAsia="仿宋_GB2312"/>
                <w:kern w:val="0"/>
                <w:sz w:val="18"/>
                <w:szCs w:val="18"/>
              </w:rPr>
            </w:pPr>
            <w:r>
              <w:rPr>
                <w:rFonts w:hint="eastAsia" w:ascii="仿宋_GB2312" w:hAnsi="宋体" w:eastAsia="仿宋_GB2312"/>
                <w:kern w:val="0"/>
                <w:sz w:val="18"/>
                <w:szCs w:val="18"/>
              </w:rPr>
              <w:t>6.系统要求</w:t>
            </w:r>
          </w:p>
          <w:p w14:paraId="49BFE505">
            <w:pPr>
              <w:widowControl/>
              <w:jc w:val="left"/>
              <w:rPr>
                <w:rFonts w:hint="eastAsia" w:ascii="仿宋_GB2312" w:hAnsi="宋体" w:eastAsia="仿宋_GB2312"/>
                <w:bCs/>
                <w:kern w:val="0"/>
                <w:sz w:val="18"/>
                <w:szCs w:val="18"/>
              </w:rPr>
            </w:pPr>
            <w:r>
              <w:rPr>
                <w:rFonts w:ascii="仿宋_GB2312" w:hAnsi="宋体" w:eastAsia="仿宋_GB2312"/>
                <w:bCs/>
                <w:kern w:val="0"/>
                <w:sz w:val="18"/>
                <w:szCs w:val="18"/>
              </w:rPr>
              <w:t>（1）所有系统均可基于国产操作系统或其它操作系统运行，数据库运行均基于《数据库产品名录》内的产品。</w:t>
            </w:r>
          </w:p>
          <w:p w14:paraId="3F25C9CA">
            <w:pPr>
              <w:widowControl/>
              <w:jc w:val="left"/>
              <w:rPr>
                <w:rFonts w:hint="eastAsia" w:ascii="仿宋_GB2312" w:hAnsi="宋体" w:eastAsia="仿宋_GB2312"/>
                <w:bCs/>
                <w:kern w:val="0"/>
                <w:sz w:val="18"/>
                <w:szCs w:val="18"/>
              </w:rPr>
            </w:pPr>
            <w:r>
              <w:rPr>
                <w:rFonts w:ascii="仿宋_GB2312" w:hAnsi="宋体" w:eastAsia="仿宋_GB2312"/>
                <w:bCs/>
                <w:kern w:val="0"/>
                <w:sz w:val="18"/>
                <w:szCs w:val="18"/>
              </w:rPr>
              <w:t>（2）与</w:t>
            </w:r>
            <w:r>
              <w:rPr>
                <w:rFonts w:hint="eastAsia" w:ascii="仿宋_GB2312" w:hAnsi="宋体" w:eastAsia="仿宋_GB2312"/>
                <w:bCs/>
                <w:kern w:val="0"/>
                <w:sz w:val="18"/>
                <w:szCs w:val="18"/>
              </w:rPr>
              <w:t>大学</w:t>
            </w:r>
            <w:r>
              <w:rPr>
                <w:rFonts w:ascii="仿宋_GB2312" w:hAnsi="宋体" w:eastAsia="仿宋_GB2312"/>
                <w:bCs/>
                <w:kern w:val="0"/>
                <w:sz w:val="18"/>
                <w:szCs w:val="18"/>
              </w:rPr>
              <w:t>、图书馆其它系统能够实现接口对接，数据传输。同时预留接口，方便与其他系统或数据库进行集成，并且可以方便地进行升级和维护。</w:t>
            </w:r>
          </w:p>
        </w:tc>
        <w:tc>
          <w:tcPr>
            <w:tcW w:w="284" w:type="pct"/>
            <w:tcBorders>
              <w:top w:val="nil"/>
              <w:left w:val="nil"/>
              <w:bottom w:val="single" w:color="auto" w:sz="4" w:space="0"/>
              <w:right w:val="single" w:color="auto" w:sz="4" w:space="0"/>
            </w:tcBorders>
            <w:shd w:val="clear" w:color="000000" w:fill="FFFFFF"/>
            <w:tcMar>
              <w:top w:w="15" w:type="dxa"/>
              <w:left w:w="15" w:type="dxa"/>
              <w:bottom w:w="0" w:type="dxa"/>
              <w:right w:w="15" w:type="dxa"/>
            </w:tcMar>
            <w:vAlign w:val="center"/>
          </w:tcPr>
          <w:p w14:paraId="27BB0F05">
            <w:pPr>
              <w:widowControl/>
              <w:jc w:val="center"/>
              <w:rPr>
                <w:rFonts w:hint="eastAsia" w:ascii="仿宋_GB2312" w:hAnsi="宋体" w:eastAsia="仿宋_GB2312"/>
                <w:bCs/>
                <w:kern w:val="0"/>
                <w:sz w:val="18"/>
                <w:szCs w:val="18"/>
              </w:rPr>
            </w:pPr>
          </w:p>
        </w:tc>
        <w:tc>
          <w:tcPr>
            <w:tcW w:w="301" w:type="pct"/>
            <w:tcBorders>
              <w:top w:val="nil"/>
              <w:left w:val="nil"/>
              <w:bottom w:val="single" w:color="auto" w:sz="4" w:space="0"/>
              <w:right w:val="single" w:color="auto" w:sz="8" w:space="0"/>
            </w:tcBorders>
            <w:shd w:val="clear" w:color="000000" w:fill="FFFFFF"/>
            <w:tcMar>
              <w:top w:w="15" w:type="dxa"/>
              <w:left w:w="15" w:type="dxa"/>
              <w:bottom w:w="0" w:type="dxa"/>
              <w:right w:w="15" w:type="dxa"/>
            </w:tcMar>
            <w:vAlign w:val="center"/>
          </w:tcPr>
          <w:p w14:paraId="4E3BF4FA">
            <w:pPr>
              <w:widowControl/>
              <w:jc w:val="center"/>
              <w:rPr>
                <w:rFonts w:hint="eastAsia" w:ascii="仿宋_GB2312" w:hAnsi="宋体" w:eastAsia="仿宋_GB2312"/>
                <w:bCs/>
                <w:kern w:val="0"/>
                <w:sz w:val="18"/>
                <w:szCs w:val="18"/>
              </w:rPr>
            </w:pPr>
          </w:p>
        </w:tc>
      </w:tr>
    </w:tbl>
    <w:p w14:paraId="22EB4320">
      <w:pPr>
        <w:pStyle w:val="3"/>
        <w:keepNext w:val="0"/>
        <w:keepLines w:val="0"/>
        <w:spacing w:line="240" w:lineRule="auto"/>
        <w:rPr>
          <w:rFonts w:hint="eastAsia" w:ascii="仿宋_GB2312" w:eastAsia="仿宋_GB2312" w:hAnsiTheme="minorEastAsia" w:cstheme="minorEastAsia"/>
          <w:b w:val="0"/>
          <w:bCs/>
          <w:sz w:val="24"/>
          <w:lang w:eastAsia="zh-Hans"/>
        </w:rPr>
      </w:pPr>
      <w:r>
        <w:rPr>
          <w:rFonts w:hint="eastAsia" w:ascii="仿宋_GB2312" w:eastAsia="仿宋_GB2312" w:hAnsiTheme="minorEastAsia" w:cstheme="minorEastAsia"/>
          <w:b w:val="0"/>
          <w:bCs/>
          <w:sz w:val="24"/>
          <w:lang w:eastAsia="zh-Hans"/>
        </w:rPr>
        <w:t>5.智慧体验区</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1021"/>
        <w:gridCol w:w="11019"/>
        <w:gridCol w:w="865"/>
        <w:gridCol w:w="777"/>
      </w:tblGrid>
      <w:tr w14:paraId="76B5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 w:type="pct"/>
          </w:tcPr>
          <w:p w14:paraId="367ADFFE">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序号</w:t>
            </w:r>
          </w:p>
        </w:tc>
        <w:tc>
          <w:tcPr>
            <w:tcW w:w="360" w:type="pct"/>
          </w:tcPr>
          <w:p w14:paraId="22EFE40C">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物资名称</w:t>
            </w:r>
          </w:p>
        </w:tc>
        <w:tc>
          <w:tcPr>
            <w:tcW w:w="3887" w:type="pct"/>
          </w:tcPr>
          <w:p w14:paraId="680C72DA">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产品规格及技术指标</w:t>
            </w:r>
          </w:p>
        </w:tc>
        <w:tc>
          <w:tcPr>
            <w:tcW w:w="305" w:type="pct"/>
          </w:tcPr>
          <w:p w14:paraId="409F14E0">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参与</w:t>
            </w:r>
            <w:r>
              <w:rPr>
                <w:rFonts w:ascii="仿宋_GB2312" w:hAnsi="宋体" w:eastAsia="仿宋_GB2312"/>
                <w:bCs/>
                <w:kern w:val="0"/>
                <w:sz w:val="18"/>
                <w:szCs w:val="18"/>
              </w:rPr>
              <w:t>单位</w:t>
            </w:r>
          </w:p>
        </w:tc>
        <w:tc>
          <w:tcPr>
            <w:tcW w:w="274" w:type="pct"/>
          </w:tcPr>
          <w:p w14:paraId="31F09CA2">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签字确认</w:t>
            </w:r>
          </w:p>
        </w:tc>
      </w:tr>
      <w:tr w14:paraId="4208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 w:type="pct"/>
          </w:tcPr>
          <w:p w14:paraId="42F6D9DD">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w:t>
            </w:r>
          </w:p>
        </w:tc>
        <w:tc>
          <w:tcPr>
            <w:tcW w:w="360" w:type="pct"/>
          </w:tcPr>
          <w:p w14:paraId="1310C230">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自助借还设备</w:t>
            </w:r>
          </w:p>
        </w:tc>
        <w:tc>
          <w:tcPr>
            <w:tcW w:w="3887" w:type="pct"/>
          </w:tcPr>
          <w:p w14:paraId="04F6692F">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1.功能参数</w:t>
            </w:r>
          </w:p>
          <w:p w14:paraId="7C2DD6F5">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（1）基于RFID射频技术的智能化图书自助借还设备。</w:t>
            </w:r>
          </w:p>
          <w:p w14:paraId="059C7FA0">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（2）具有人脸借书、密码借书、证件借书、还书管理、读者注册、图书查询等功能模块。</w:t>
            </w:r>
          </w:p>
          <w:p w14:paraId="5FD8D219">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（3）读者可以凭自身证件快速完成自助注册。</w:t>
            </w:r>
          </w:p>
          <w:p w14:paraId="1C00F308">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（4）读者可通过刷脸（人脸识别）、刷证（二代身份证/读者证）、扫码（条形码或二维码）和输入账号密码等多种方式登录借书。</w:t>
            </w:r>
          </w:p>
          <w:p w14:paraId="6B784D99">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（5）人脸识别具有活体检测功能。</w:t>
            </w:r>
          </w:p>
          <w:p w14:paraId="0145E2A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（6）支持读者登录后进行批量借书功能。</w:t>
            </w:r>
          </w:p>
          <w:p w14:paraId="711565CD">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（7）支持读者免登录进行批量还书功能。</w:t>
            </w:r>
          </w:p>
          <w:p w14:paraId="5CEF65B4">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（8）设备单次借书或还书业务处理能力可达10册以上。</w:t>
            </w:r>
          </w:p>
          <w:p w14:paraId="750CFE95">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（9）读者可修改个人密码，查看个人在借记录。</w:t>
            </w:r>
          </w:p>
          <w:p w14:paraId="0E8F8C66">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w:t>
            </w:r>
            <w:r>
              <w:rPr>
                <w:rFonts w:ascii="仿宋_GB2312" w:hAnsi="宋体" w:eastAsia="仿宋_GB2312"/>
                <w:bCs/>
                <w:kern w:val="0"/>
                <w:sz w:val="18"/>
                <w:szCs w:val="18"/>
              </w:rPr>
              <w:t>0</w:t>
            </w:r>
            <w:r>
              <w:rPr>
                <w:rFonts w:hint="eastAsia" w:ascii="仿宋_GB2312" w:hAnsi="宋体" w:eastAsia="仿宋_GB2312"/>
                <w:bCs/>
                <w:kern w:val="0"/>
                <w:sz w:val="18"/>
                <w:szCs w:val="18"/>
              </w:rPr>
              <w:t>）设备必须与图书馆管理系统无缝对接，数据实时互通，设备工作状态可通过管理平台实现远程实时监控。</w:t>
            </w:r>
          </w:p>
          <w:p w14:paraId="3409D8AE">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（11）为保障系统的兼容稳定性，必须确保能够对接或迁移现有自助借还系统的数据。</w:t>
            </w:r>
          </w:p>
          <w:p w14:paraId="78CA6AD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2.技术参数</w:t>
            </w:r>
          </w:p>
          <w:p w14:paraId="0870CB7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（1）显示屏≥21</w:t>
            </w:r>
            <w:r>
              <w:rPr>
                <w:rFonts w:hint="eastAsia" w:ascii="仿宋_GB2312" w:hAnsi="仿宋_GB2312" w:eastAsia="仿宋_GB2312" w:cs="仿宋_GB2312"/>
                <w:bCs/>
                <w:kern w:val="0"/>
                <w:sz w:val="18"/>
                <w:szCs w:val="18"/>
              </w:rPr>
              <w:t>寸触摸屏，分辨率≥</w:t>
            </w:r>
            <w:r>
              <w:rPr>
                <w:rFonts w:hint="eastAsia" w:ascii="仿宋_GB2312" w:hAnsi="宋体" w:eastAsia="仿宋_GB2312"/>
                <w:bCs/>
                <w:kern w:val="0"/>
                <w:sz w:val="18"/>
                <w:szCs w:val="18"/>
              </w:rPr>
              <w:t>1920×1080，同时触摸点≥10点。</w:t>
            </w:r>
          </w:p>
          <w:p w14:paraId="6A3956BC">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（2）处理器主频≥1.8GHz。</w:t>
            </w:r>
          </w:p>
          <w:p w14:paraId="34C15C57">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（3）内存≥2G，存储≥16G。</w:t>
            </w:r>
          </w:p>
          <w:p w14:paraId="79003A9C">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（4）通讯接口：RJ45网口。</w:t>
            </w:r>
          </w:p>
          <w:p w14:paraId="18D57E0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（5）RFID工作频率：840MHz～960MHz。</w:t>
            </w:r>
          </w:p>
          <w:p w14:paraId="515119C7">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（6）RFID标签识别速度≤100ms；支持多标签同时处理。</w:t>
            </w:r>
          </w:p>
          <w:p w14:paraId="2F56C075">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（7）人脸识别底库容量≥5万人。</w:t>
            </w:r>
          </w:p>
          <w:p w14:paraId="2E222830">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（8）人脸识别准确率≥99.99 %，适应强光、暗光、逆光等多种光照环境，戴眼镜、化妆、换发型等行为的改变皆可轻松识别； 虚警率≤0.1%。</w:t>
            </w:r>
          </w:p>
          <w:p w14:paraId="6F6C918D">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（9）人脸识别速度：正常状态识别时间≤2S。</w:t>
            </w:r>
          </w:p>
        </w:tc>
        <w:tc>
          <w:tcPr>
            <w:tcW w:w="305" w:type="pct"/>
          </w:tcPr>
          <w:p w14:paraId="3318BF71">
            <w:pPr>
              <w:jc w:val="center"/>
              <w:rPr>
                <w:rFonts w:hint="eastAsia" w:ascii="仿宋_GB2312" w:hAnsi="宋体" w:eastAsia="仿宋_GB2312"/>
                <w:bCs/>
                <w:kern w:val="0"/>
                <w:sz w:val="18"/>
                <w:szCs w:val="18"/>
              </w:rPr>
            </w:pPr>
          </w:p>
        </w:tc>
        <w:tc>
          <w:tcPr>
            <w:tcW w:w="274" w:type="pct"/>
          </w:tcPr>
          <w:p w14:paraId="57751735">
            <w:pPr>
              <w:jc w:val="center"/>
              <w:rPr>
                <w:rFonts w:hint="eastAsia" w:ascii="仿宋_GB2312" w:hAnsi="宋体" w:eastAsia="仿宋_GB2312"/>
                <w:bCs/>
                <w:kern w:val="0"/>
                <w:sz w:val="18"/>
                <w:szCs w:val="18"/>
              </w:rPr>
            </w:pPr>
          </w:p>
        </w:tc>
      </w:tr>
      <w:tr w14:paraId="70D5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 w:type="pct"/>
          </w:tcPr>
          <w:p w14:paraId="516D2D1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w:t>
            </w:r>
          </w:p>
        </w:tc>
        <w:tc>
          <w:tcPr>
            <w:tcW w:w="360" w:type="pct"/>
          </w:tcPr>
          <w:p w14:paraId="6466BF16">
            <w:pPr>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24小时自助图书馆</w:t>
            </w:r>
          </w:p>
        </w:tc>
        <w:tc>
          <w:tcPr>
            <w:tcW w:w="3887" w:type="pct"/>
          </w:tcPr>
          <w:p w14:paraId="54BDADFF">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1.功能参数</w:t>
            </w:r>
          </w:p>
          <w:p w14:paraId="0BC8E4E9">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（1）基于RFID射频技术的智能化图书自助借还柜，可实现24小时无人化管理。</w:t>
            </w:r>
          </w:p>
          <w:p w14:paraId="350266E2">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（2）图书自助借还柜必须与图书馆管理系统无缝对接，数据实时互通。</w:t>
            </w:r>
          </w:p>
          <w:p w14:paraId="3831B455">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（3）读者可以凭自身证件快速完成自助注册。</w:t>
            </w:r>
          </w:p>
          <w:p w14:paraId="65DFFE9D">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（4）读者可通过刷脸（人脸识别）、刷证（二代身份证/读者证）、扫码（二维码/条形码）和输入账号密码等多种方式登录开柜操作。</w:t>
            </w:r>
          </w:p>
          <w:p w14:paraId="5D37AFCA">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（5）读者可以进行多本图书同时借还的操作，读者还书后即完成图书的上架操作。</w:t>
            </w:r>
          </w:p>
          <w:p w14:paraId="3C5FC1A8">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（6）操作简单，业务办理速度快，平均一次借/还业务操作耗时≤10秒。</w:t>
            </w:r>
          </w:p>
          <w:p w14:paraId="40952BBD">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（7）读者可在设备上或图书馆主页上检索查询本柜的全部图书。</w:t>
            </w:r>
          </w:p>
          <w:p w14:paraId="35BBC61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（8）读者可以查看附近的图书馆的位置距离和藏书情况和馆情介绍等信息。</w:t>
            </w:r>
          </w:p>
          <w:p w14:paraId="7FABC87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（9）设备软件提供本柜的操作指南，以方便读者阅读学习，熟悉使用。</w:t>
            </w:r>
          </w:p>
          <w:p w14:paraId="7C370C3E">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（10）借还柜数据在管理平台实时可查，工作状态可通过管理平台实现远程实时监控。</w:t>
            </w:r>
          </w:p>
          <w:p w14:paraId="66DDA693">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（11）整柜藏书量不少于400册标准图书，并可一主多副组合进行存储扩展，每增加一副柜可增加不少于100册的标准图书藏书量。</w:t>
            </w:r>
          </w:p>
          <w:p w14:paraId="604C3F93">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（12）配备监控摄像头，以实现远程24小时监控录像。</w:t>
            </w:r>
          </w:p>
          <w:p w14:paraId="682FD300">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（13）配备音频喇叭，具有语音提示功能，以提升用户体验。</w:t>
            </w:r>
          </w:p>
          <w:p w14:paraId="0DBE96B9">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（14）配备LED显示屏，可滚动显示书柜馆名等重要信息。</w:t>
            </w:r>
          </w:p>
          <w:p w14:paraId="63A8E403">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（15）配备LED照明灯进行光线补充，以方便读者夜间操作使用。</w:t>
            </w:r>
          </w:p>
          <w:p w14:paraId="614038C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（16）配备定时开关，以支持定时开关机控制。</w:t>
            </w:r>
          </w:p>
          <w:p w14:paraId="77CE330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（17）24小时图书馆自助借还软件须与硬件制造商为同一厂家生产。</w:t>
            </w:r>
          </w:p>
          <w:p w14:paraId="3C87A6F9">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2.技术参数</w:t>
            </w:r>
          </w:p>
          <w:p w14:paraId="3B1D70CE">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（1）显示屏≥21</w:t>
            </w:r>
            <w:r>
              <w:rPr>
                <w:rFonts w:hint="eastAsia" w:ascii="仿宋_GB2312" w:hAnsi="仿宋_GB2312" w:eastAsia="仿宋_GB2312" w:cs="仿宋_GB2312"/>
                <w:bCs/>
                <w:kern w:val="0"/>
                <w:sz w:val="18"/>
                <w:szCs w:val="18"/>
              </w:rPr>
              <w:t>寸触摸屏，分辨率≥</w:t>
            </w:r>
            <w:r>
              <w:rPr>
                <w:rFonts w:hint="eastAsia" w:ascii="仿宋_GB2312" w:hAnsi="宋体" w:eastAsia="仿宋_GB2312"/>
                <w:bCs/>
                <w:kern w:val="0"/>
                <w:sz w:val="18"/>
                <w:szCs w:val="18"/>
              </w:rPr>
              <w:t>1920×1080，同时触摸点≥10点。</w:t>
            </w:r>
          </w:p>
          <w:p w14:paraId="737D5A36">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（2）处理器主频≥1.8GHz。</w:t>
            </w:r>
          </w:p>
          <w:p w14:paraId="2AFABF7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（3）内存≥2G，存储≥16G。</w:t>
            </w:r>
          </w:p>
          <w:p w14:paraId="7090A0E1">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（4）通讯接口：RJ45网口。</w:t>
            </w:r>
          </w:p>
          <w:p w14:paraId="7778D7B6">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（5）RFID工作频率：840MHz～960MHz。</w:t>
            </w:r>
          </w:p>
          <w:p w14:paraId="71F86A9C">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（6）RFID标签识别速度≤100ms；支持多标签同时处理。</w:t>
            </w:r>
          </w:p>
          <w:p w14:paraId="621EC87F">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（7）人脸识别底库容量≥5万人。</w:t>
            </w:r>
          </w:p>
          <w:p w14:paraId="51FEAAA5">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（8）人脸识别准确率≥99 %，适应强光、暗光、逆光等多种光照环境，戴眼镜、化妆、换发型等行为的改变皆可轻松识别； 虚警率≤0.1%。</w:t>
            </w:r>
          </w:p>
          <w:p w14:paraId="31E5551B">
            <w:pPr>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（9）人脸识别速度：正常状态识别时间≤2S。</w:t>
            </w:r>
          </w:p>
        </w:tc>
        <w:tc>
          <w:tcPr>
            <w:tcW w:w="305" w:type="pct"/>
          </w:tcPr>
          <w:p w14:paraId="45FECC7E">
            <w:pPr>
              <w:jc w:val="center"/>
              <w:rPr>
                <w:rFonts w:hint="eastAsia" w:ascii="仿宋_GB2312" w:hAnsi="宋体" w:eastAsia="仿宋_GB2312"/>
                <w:bCs/>
                <w:kern w:val="0"/>
                <w:sz w:val="18"/>
                <w:szCs w:val="18"/>
              </w:rPr>
            </w:pPr>
          </w:p>
        </w:tc>
        <w:tc>
          <w:tcPr>
            <w:tcW w:w="274" w:type="pct"/>
          </w:tcPr>
          <w:p w14:paraId="5AF7D5E3">
            <w:pPr>
              <w:jc w:val="center"/>
              <w:rPr>
                <w:rFonts w:hint="eastAsia" w:ascii="仿宋_GB2312" w:hAnsi="宋体" w:eastAsia="仿宋_GB2312"/>
                <w:bCs/>
                <w:kern w:val="0"/>
                <w:sz w:val="18"/>
                <w:szCs w:val="18"/>
              </w:rPr>
            </w:pPr>
          </w:p>
        </w:tc>
      </w:tr>
      <w:tr w14:paraId="5549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 w:type="pct"/>
          </w:tcPr>
          <w:p w14:paraId="436B3CA9">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3</w:t>
            </w:r>
          </w:p>
        </w:tc>
        <w:tc>
          <w:tcPr>
            <w:tcW w:w="360" w:type="pct"/>
          </w:tcPr>
          <w:p w14:paraId="0402E528">
            <w:pPr>
              <w:widowControl/>
              <w:jc w:val="center"/>
              <w:rPr>
                <w:rFonts w:hint="eastAsia" w:ascii="仿宋_GB2312" w:hAnsi="宋体" w:eastAsia="仿宋_GB2312"/>
                <w:bCs/>
                <w:kern w:val="0"/>
                <w:sz w:val="18"/>
                <w:szCs w:val="18"/>
              </w:rPr>
            </w:pPr>
            <w:r>
              <w:rPr>
                <w:rFonts w:hint="eastAsia" w:ascii="仿宋_GB2312" w:hAnsi="宋体" w:eastAsia="仿宋_GB2312"/>
                <w:bCs/>
                <w:kern w:val="0"/>
                <w:sz w:val="18"/>
                <w:szCs w:val="18"/>
              </w:rPr>
              <w:t>瀑布流电子借阅系统</w:t>
            </w:r>
          </w:p>
        </w:tc>
        <w:tc>
          <w:tcPr>
            <w:tcW w:w="3887" w:type="pct"/>
          </w:tcPr>
          <w:p w14:paraId="7E1DE72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1.软件参数</w:t>
            </w:r>
          </w:p>
          <w:p w14:paraId="5C38AE4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（1）支持电子图书、视频、图片等数字资源能够以瀑布流形式在屏幕上至上而下滚动地展现给读者。</w:t>
            </w:r>
          </w:p>
          <w:p w14:paraId="05830382">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（2）点击电子图书，能够展现该电子图书的二维码。</w:t>
            </w:r>
          </w:p>
          <w:p w14:paraId="0E2A55AA">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（3）读者可通过A</w:t>
            </w:r>
            <w:r>
              <w:rPr>
                <w:rFonts w:ascii="仿宋_GB2312" w:hAnsi="宋体" w:eastAsia="仿宋_GB2312"/>
                <w:bCs/>
                <w:kern w:val="0"/>
                <w:sz w:val="18"/>
                <w:szCs w:val="18"/>
              </w:rPr>
              <w:t>PP</w:t>
            </w:r>
            <w:r>
              <w:rPr>
                <w:rFonts w:hint="eastAsia" w:ascii="仿宋_GB2312" w:hAnsi="宋体" w:eastAsia="仿宋_GB2312"/>
                <w:bCs/>
                <w:kern w:val="0"/>
                <w:sz w:val="18"/>
                <w:szCs w:val="18"/>
              </w:rPr>
              <w:t>或微信端配套小程序扫描电子图书二维码下载该图书到手机端的进行阅读。</w:t>
            </w:r>
          </w:p>
          <w:p w14:paraId="0925208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（4）下载的电子图书直接保存于个人的电子书架，可随时查阅，支持离线阅读。</w:t>
            </w:r>
          </w:p>
          <w:p w14:paraId="705D45E9">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（5）支持对瀑布流设备进行资源配置、个性化设置，并提供可为其它系统访问的数据接口，</w:t>
            </w:r>
            <w:r>
              <w:rPr>
                <w:rFonts w:ascii="仿宋_GB2312" w:hAnsi="宋体" w:eastAsia="仿宋_GB2312"/>
                <w:bCs/>
                <w:kern w:val="0"/>
                <w:sz w:val="18"/>
                <w:szCs w:val="18"/>
              </w:rPr>
              <w:t>与</w:t>
            </w:r>
            <w:r>
              <w:rPr>
                <w:rFonts w:hint="eastAsia" w:ascii="仿宋_GB2312" w:hAnsi="宋体" w:eastAsia="仿宋_GB2312"/>
                <w:bCs/>
                <w:kern w:val="0"/>
                <w:sz w:val="18"/>
                <w:szCs w:val="18"/>
              </w:rPr>
              <w:t>大学互联网</w:t>
            </w:r>
            <w:r>
              <w:rPr>
                <w:rFonts w:ascii="仿宋_GB2312" w:hAnsi="宋体" w:eastAsia="仿宋_GB2312"/>
                <w:bCs/>
                <w:kern w:val="0"/>
                <w:sz w:val="18"/>
                <w:szCs w:val="18"/>
              </w:rPr>
              <w:t>应用做集成对接</w:t>
            </w:r>
            <w:r>
              <w:rPr>
                <w:rFonts w:hint="eastAsia" w:ascii="仿宋_GB2312" w:hAnsi="宋体" w:eastAsia="仿宋_GB2312"/>
                <w:bCs/>
                <w:kern w:val="0"/>
                <w:sz w:val="18"/>
                <w:szCs w:val="18"/>
              </w:rPr>
              <w:t>。</w:t>
            </w:r>
          </w:p>
          <w:p w14:paraId="454FF34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2.资源参数</w:t>
            </w:r>
          </w:p>
          <w:p w14:paraId="2735D45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（1）供应商提供的电子书必须以Epub、PDF等主流文件格式（含使用授权）交付采购单位，并上传至用户单位正在使用的系统。</w:t>
            </w:r>
          </w:p>
          <w:p w14:paraId="571F379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（2）提供不低于3000册镜像电子图书，且能保证在合同期内定期更新。</w:t>
            </w:r>
          </w:p>
          <w:p w14:paraId="63A4619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（3）可选内容包括但不限于红色党建、文学、小说、艺术、人物传记、个人成长、政治军事、人文社科、历史地理、理财经管、科学技术、生活、医学健康、教育学习等分类栏目板块。</w:t>
            </w:r>
          </w:p>
          <w:p w14:paraId="3441A1F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（4）提供的数字资源必须是国家合法的电子出版物，须承诺采购单位使用时不受任何第三方的追诉。</w:t>
            </w:r>
          </w:p>
          <w:p w14:paraId="54F084E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（6）在质保期内，交付资源应可正常使用。</w:t>
            </w:r>
          </w:p>
          <w:p w14:paraId="2A28A1BD">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3.硬件参数</w:t>
            </w:r>
          </w:p>
          <w:p w14:paraId="73D18C20">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（1）单块显示屏≥40寸，分辨率≥1080×1920。</w:t>
            </w:r>
          </w:p>
          <w:p w14:paraId="48F997D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（2）显示屏拼接数量≥3块。</w:t>
            </w:r>
          </w:p>
          <w:p w14:paraId="2A43FD63">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（3）触摸屏≥10点触摸。</w:t>
            </w:r>
          </w:p>
          <w:p w14:paraId="0D5C7B5C">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（4）处理器主频≥2.0GHz。</w:t>
            </w:r>
          </w:p>
          <w:p w14:paraId="2FF53B5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（5）内存≥4G；存储≥32G ROM。</w:t>
            </w:r>
          </w:p>
          <w:p w14:paraId="6DF20D95">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（6）通讯接口：USB3.0、RJ45。</w:t>
            </w:r>
          </w:p>
          <w:p w14:paraId="7A0007E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（7）支持视频格式：全视频格式（1080P、720P）。</w:t>
            </w:r>
          </w:p>
          <w:p w14:paraId="6E3D50E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（8）支持音频格式：WMA、MP3、WAV、AAC、AC3、EAC3、Vorbis、FLAC、APE、TrueHD、DRA、DTS、DTSHD。</w:t>
            </w:r>
          </w:p>
          <w:p w14:paraId="4156DD6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（9）支持图片格式：BMP、JPEG、PNG、GIF。</w:t>
            </w:r>
          </w:p>
          <w:p w14:paraId="3C79A17F">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（11）支持文档格式：DOC、TXT、DOCX、XLSX、PPTX。</w:t>
            </w:r>
          </w:p>
          <w:p w14:paraId="21356B7E">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（12）机柜材质：冷扎钢SPCC/铝面板/订制，金属烤漆，独立电源，内部构件电镀，防锈、防磁，防静电。</w:t>
            </w:r>
          </w:p>
          <w:p w14:paraId="196978E6">
            <w:pPr>
              <w:widowControl/>
              <w:jc w:val="left"/>
              <w:rPr>
                <w:rFonts w:hint="eastAsia" w:ascii="仿宋_GB2312" w:hAnsi="宋体" w:eastAsia="仿宋_GB2312"/>
                <w:bCs/>
                <w:kern w:val="0"/>
                <w:sz w:val="18"/>
                <w:szCs w:val="18"/>
              </w:rPr>
            </w:pPr>
            <w:r>
              <w:rPr>
                <w:rFonts w:hint="eastAsia" w:ascii="仿宋_GB2312" w:hAnsi="宋体" w:eastAsia="仿宋_GB2312"/>
                <w:bCs/>
                <w:kern w:val="0"/>
                <w:sz w:val="18"/>
                <w:szCs w:val="18"/>
              </w:rPr>
              <w:t>（13）工作温度：0℃∽50℃。</w:t>
            </w:r>
          </w:p>
        </w:tc>
        <w:tc>
          <w:tcPr>
            <w:tcW w:w="305" w:type="pct"/>
          </w:tcPr>
          <w:p w14:paraId="7E4FC4E6">
            <w:pPr>
              <w:widowControl/>
              <w:jc w:val="center"/>
              <w:rPr>
                <w:rFonts w:hint="eastAsia" w:ascii="仿宋_GB2312" w:hAnsi="宋体" w:eastAsia="仿宋_GB2312"/>
                <w:bCs/>
                <w:kern w:val="0"/>
                <w:sz w:val="18"/>
                <w:szCs w:val="18"/>
              </w:rPr>
            </w:pPr>
          </w:p>
        </w:tc>
        <w:tc>
          <w:tcPr>
            <w:tcW w:w="274" w:type="pct"/>
          </w:tcPr>
          <w:p w14:paraId="5541B858">
            <w:pPr>
              <w:widowControl/>
              <w:jc w:val="center"/>
              <w:rPr>
                <w:rFonts w:hint="eastAsia" w:ascii="仿宋_GB2312" w:hAnsi="宋体" w:eastAsia="仿宋_GB2312"/>
                <w:bCs/>
                <w:kern w:val="0"/>
                <w:sz w:val="18"/>
                <w:szCs w:val="18"/>
              </w:rPr>
            </w:pPr>
          </w:p>
        </w:tc>
      </w:tr>
    </w:tbl>
    <w:p w14:paraId="1028FFB3">
      <w:pPr>
        <w:rPr>
          <w:rFonts w:hint="eastAsia" w:ascii="仿宋_GB2312" w:eastAsia="仿宋_GB2312"/>
          <w:lang w:eastAsia="zh-Hans"/>
        </w:rPr>
      </w:pPr>
    </w:p>
    <w:p w14:paraId="62933EF2"/>
    <w:sectPr>
      <w:footerReference r:id="rId3"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仿宋_GB2312">
    <w:altName w:val="仿宋"/>
    <w:panose1 w:val="00020600040101010101"/>
    <w:charset w:val="86"/>
    <w:family w:val="modern"/>
    <w:pitch w:val="default"/>
    <w:sig w:usb0="00000000" w:usb1="00000000" w:usb2="00000016" w:usb3="00000000" w:csb0="0004009F" w:csb1="DFD7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4813340"/>
      <w:docPartObj>
        <w:docPartGallery w:val="autotext"/>
      </w:docPartObj>
    </w:sdtPr>
    <w:sdtContent>
      <w:p w14:paraId="527CBB4E">
        <w:pPr>
          <w:pStyle w:val="5"/>
          <w:jc w:val="center"/>
          <w:rPr>
            <w:rFonts w:hint="eastAsia"/>
          </w:rPr>
        </w:pPr>
        <w:r>
          <w:fldChar w:fldCharType="begin"/>
        </w:r>
        <w:r>
          <w:instrText xml:space="preserve">PAGE   \* MERGEFORMAT</w:instrText>
        </w:r>
        <w:r>
          <w:fldChar w:fldCharType="separate"/>
        </w:r>
        <w:r>
          <w:rPr>
            <w:lang w:val="zh-CN"/>
          </w:rPr>
          <w:t>11</w:t>
        </w:r>
        <w:r>
          <w:fldChar w:fldCharType="end"/>
        </w:r>
      </w:p>
    </w:sdtContent>
  </w:sdt>
  <w:p w14:paraId="4632E941">
    <w:pPr>
      <w:pStyle w:val="5"/>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757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paragraph" w:styleId="4">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1T07:28:18"/>
    </inkml:context>
    <inkml:brush xml:id="br0">
      <inkml:brushProperty name="width" value="0.035" units="cm"/>
      <inkml:brushProperty name="height" value="0.035" units="cm"/>
      <inkml:brushProperty name="color" value="#000000"/>
    </inkml:brush>
  </inkml:definitions>
  <inkml:trace contextRef="#ctx0" brushRef="#br0">94.000 0.000 2361,'-93.000'70.000'1968,"407.000"-40.000"1041,-299.000-38.000-1873,-56.000-9.000 600,50.000 18.000-1080,2.000-1.000 353</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2026-03-18T02:17:59Z</dcterms:created>
  <dc:creator>zhousj</dc:creator>
  <cp:lastModifiedBy>踏雪无痕</cp:lastModifiedBy>
  <dcterms:modified xsi:type="dcterms:W3CDTF">2026-03-18T02:18:13Z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eyJoZGlkIjoiNGI2OWEyYmZkNDJmOTQxNWMyYzk4NWZkNWRiOWU2ZDciLCJ1c2VySWQiOiI1Njg4MTgxNzUifQ==</vt:lpwstr>
  </property>
  <property fmtid="{D5CDD505-2E9C-101B-9397-08002B2CF9AE}" pid="4" name="ICV">
    <vt:lpwstr>C7670D2A493E4FA4B4F21B7621425E6B_12</vt:lpwstr>
  </property>
</Properties>
</file>