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120A" w14:textId="1912CABC" w:rsidR="00B16B8D" w:rsidRDefault="009C0255" w:rsidP="005E6FD0">
      <w:pPr>
        <w:spacing w:line="276" w:lineRule="auto"/>
        <w:rPr>
          <w:rFonts w:ascii="Arial" w:hAnsi="Arial" w:cs="Arial"/>
          <w:b/>
          <w:bCs/>
        </w:rPr>
      </w:pPr>
      <w:r w:rsidRPr="00B16B8D">
        <w:rPr>
          <w:rFonts w:ascii="Arial" w:hAnsi="Arial" w:cs="Arial"/>
          <w:b/>
          <w:bCs/>
        </w:rPr>
        <w:t>Amanda Clark</w:t>
      </w:r>
    </w:p>
    <w:p w14:paraId="07F2F421" w14:textId="00F83BA2" w:rsidR="00B16B8D" w:rsidRPr="005E6FD0" w:rsidRDefault="005E6FD0" w:rsidP="005E6FD0">
      <w:pPr>
        <w:pStyle w:val="NormalWeb"/>
        <w:spacing w:line="276" w:lineRule="auto"/>
        <w:rPr>
          <w:rFonts w:ascii="Arial" w:hAnsi="Arial" w:cs="Arial"/>
          <w:b/>
          <w:bCs/>
        </w:rPr>
      </w:pPr>
      <w:r w:rsidRPr="005E6FD0">
        <w:rPr>
          <w:rFonts w:ascii="Arial" w:hAnsi="Arial" w:cs="Arial"/>
          <w:b/>
          <w:bCs/>
        </w:rPr>
        <w:t>Cell-Cell Communication Networks Underlying Tertiary Lymphoid Structures in Experimental Colitis</w:t>
      </w:r>
    </w:p>
    <w:p w14:paraId="47E41065" w14:textId="3808A2B5" w:rsidR="00512030" w:rsidRPr="00512030" w:rsidRDefault="00512030" w:rsidP="00512030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512030">
        <w:rPr>
          <w:rFonts w:ascii="Arial" w:hAnsi="Arial" w:cs="Arial"/>
          <w:color w:val="000000"/>
        </w:rPr>
        <w:t>Inflammatory bowel disease (IBD) involves dysregulated mucosal immunity and the emergence of tertiary lymphoid structures (TLS), ectopic aggregates enriched for IgG</w:t>
      </w:r>
      <w:r>
        <w:rPr>
          <w:rFonts w:ascii="Arial" w:hAnsi="Arial" w:cs="Arial"/>
          <w:color w:val="000000"/>
        </w:rPr>
        <w:t>-</w:t>
      </w:r>
      <w:r w:rsidRPr="00512030">
        <w:rPr>
          <w:rFonts w:ascii="Arial" w:hAnsi="Arial" w:cs="Arial"/>
          <w:color w:val="000000"/>
        </w:rPr>
        <w:t>secreting plasma cells rather than the IgA</w:t>
      </w:r>
      <w:r>
        <w:rPr>
          <w:rFonts w:ascii="Arial" w:hAnsi="Arial" w:cs="Arial"/>
          <w:color w:val="000000"/>
        </w:rPr>
        <w:t>-</w:t>
      </w:r>
      <w:r w:rsidRPr="00512030">
        <w:rPr>
          <w:rFonts w:ascii="Arial" w:hAnsi="Arial" w:cs="Arial"/>
          <w:color w:val="000000"/>
        </w:rPr>
        <w:t xml:space="preserve">dominant populations of healthy gut. Because TLS may either reinforce protective immunity or intensify chronic inflammation, we compared </w:t>
      </w:r>
      <w:r w:rsidRPr="00F5292A">
        <w:rPr>
          <w:rFonts w:ascii="Arial" w:hAnsi="Arial" w:cs="Arial"/>
          <w:i/>
          <w:iCs/>
          <w:color w:val="000000"/>
        </w:rPr>
        <w:t>Salmonella</w:t>
      </w:r>
      <w:r>
        <w:rPr>
          <w:rFonts w:ascii="Arial" w:hAnsi="Arial" w:cs="Arial"/>
          <w:color w:val="000000"/>
        </w:rPr>
        <w:t>-</w:t>
      </w:r>
      <w:r w:rsidRPr="00512030">
        <w:rPr>
          <w:rFonts w:ascii="Arial" w:hAnsi="Arial" w:cs="Arial"/>
          <w:color w:val="000000"/>
        </w:rPr>
        <w:t xml:space="preserve">driven and </w:t>
      </w:r>
      <w:r w:rsidRPr="00F5292A">
        <w:rPr>
          <w:rFonts w:ascii="Arial" w:hAnsi="Arial" w:cs="Arial"/>
          <w:i/>
          <w:iCs/>
          <w:color w:val="000000"/>
        </w:rPr>
        <w:t>Il10</w:t>
      </w:r>
      <w:r w:rsidRPr="00512030">
        <w:rPr>
          <w:rFonts w:ascii="Arial" w:hAnsi="Arial" w:cs="Arial"/>
          <w:color w:val="000000"/>
        </w:rPr>
        <w:noBreakHyphen/>
        <w:t>deficient colitis to identify models that best capture TLS biology in IBD. </w:t>
      </w:r>
    </w:p>
    <w:p w14:paraId="1B3E3781" w14:textId="77777777" w:rsidR="00512030" w:rsidRDefault="00512030" w:rsidP="00512030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000000"/>
        </w:rPr>
      </w:pPr>
    </w:p>
    <w:p w14:paraId="7700A235" w14:textId="77777777" w:rsidR="00512030" w:rsidRDefault="00512030" w:rsidP="00512030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000000"/>
        </w:rPr>
      </w:pPr>
      <w:r w:rsidRPr="00512030">
        <w:rPr>
          <w:rFonts w:ascii="Arial" w:hAnsi="Arial" w:cs="Arial"/>
          <w:color w:val="000000"/>
        </w:rPr>
        <w:t>Using single</w:t>
      </w:r>
      <w:r>
        <w:rPr>
          <w:rFonts w:ascii="Arial" w:hAnsi="Arial" w:cs="Arial"/>
          <w:color w:val="000000"/>
        </w:rPr>
        <w:t>-</w:t>
      </w:r>
      <w:r w:rsidRPr="00512030">
        <w:rPr>
          <w:rFonts w:ascii="Arial" w:hAnsi="Arial" w:cs="Arial"/>
          <w:color w:val="000000"/>
        </w:rPr>
        <w:t>cell</w:t>
      </w:r>
      <w:r>
        <w:rPr>
          <w:rFonts w:ascii="Arial" w:hAnsi="Arial" w:cs="Arial"/>
          <w:color w:val="000000"/>
        </w:rPr>
        <w:t xml:space="preserve"> transcriptomic data</w:t>
      </w:r>
      <w:r w:rsidRPr="00512030">
        <w:rPr>
          <w:rFonts w:ascii="Arial" w:hAnsi="Arial" w:cs="Arial"/>
          <w:color w:val="000000"/>
        </w:rPr>
        <w:t>, we mapped the cellular landscape of TLS and lamina propria (LP), revealing sharp model</w:t>
      </w:r>
      <w:r>
        <w:rPr>
          <w:rFonts w:ascii="Arial" w:hAnsi="Arial" w:cs="Arial"/>
          <w:color w:val="000000"/>
        </w:rPr>
        <w:t>-</w:t>
      </w:r>
      <w:r w:rsidRPr="00512030">
        <w:rPr>
          <w:rFonts w:ascii="Arial" w:hAnsi="Arial" w:cs="Arial"/>
          <w:color w:val="000000"/>
        </w:rPr>
        <w:t xml:space="preserve">specific differences: </w:t>
      </w:r>
      <w:r w:rsidRPr="00F5292A">
        <w:rPr>
          <w:rFonts w:ascii="Arial" w:hAnsi="Arial" w:cs="Arial"/>
          <w:i/>
          <w:iCs/>
          <w:color w:val="000000"/>
        </w:rPr>
        <w:t>Salmonella</w:t>
      </w:r>
      <w:r w:rsidRPr="00512030">
        <w:rPr>
          <w:rFonts w:ascii="Arial" w:hAnsi="Arial" w:cs="Arial"/>
          <w:color w:val="000000"/>
        </w:rPr>
        <w:t xml:space="preserve"> colitis generated a diverse expansion of mature lymphoid and myeloid populations, whereas </w:t>
      </w:r>
      <w:r w:rsidRPr="00F5292A">
        <w:rPr>
          <w:rFonts w:ascii="Arial" w:hAnsi="Arial" w:cs="Arial"/>
          <w:i/>
          <w:iCs/>
          <w:color w:val="000000"/>
        </w:rPr>
        <w:t>Il10</w:t>
      </w:r>
      <w:r w:rsidRPr="00512030">
        <w:rPr>
          <w:rFonts w:ascii="Arial" w:hAnsi="Arial" w:cs="Arial"/>
          <w:color w:val="000000"/>
        </w:rPr>
        <w:t xml:space="preserve"> deficiency was dominated by naïve B cells, reflecting acute versus chronic inflammatory states. Differential expression analysis showed the greatest transcriptional divergence between models, guiding tissue</w:t>
      </w:r>
      <w:r>
        <w:rPr>
          <w:rFonts w:ascii="Arial" w:hAnsi="Arial" w:cs="Arial"/>
          <w:color w:val="000000"/>
        </w:rPr>
        <w:t>-</w:t>
      </w:r>
      <w:r w:rsidRPr="00512030">
        <w:rPr>
          <w:rFonts w:ascii="Arial" w:hAnsi="Arial" w:cs="Arial"/>
          <w:color w:val="000000"/>
        </w:rPr>
        <w:t xml:space="preserve">specific network reconstruction. </w:t>
      </w:r>
    </w:p>
    <w:p w14:paraId="52319DE8" w14:textId="77777777" w:rsidR="00512030" w:rsidRDefault="00512030" w:rsidP="00512030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000000"/>
        </w:rPr>
      </w:pPr>
    </w:p>
    <w:p w14:paraId="1355D4A0" w14:textId="34E6F0A1" w:rsidR="00512030" w:rsidRPr="00512030" w:rsidRDefault="00512030" w:rsidP="00512030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512030">
        <w:rPr>
          <w:rFonts w:ascii="Arial" w:hAnsi="Arial" w:cs="Arial"/>
          <w:color w:val="000000"/>
        </w:rPr>
        <w:t>Using Transkingdom Network Analysis (TkNA) and complementary computational approaches, we identified Mmp12</w:t>
      </w:r>
      <w:r w:rsidRPr="00512030">
        <w:rPr>
          <w:rFonts w:ascii="Cambria Math" w:hAnsi="Cambria Math" w:cs="Cambria Math"/>
          <w:color w:val="000000"/>
        </w:rPr>
        <w:t>⁺</w:t>
      </w:r>
      <w:r w:rsidRPr="00512030">
        <w:rPr>
          <w:rFonts w:ascii="Arial" w:hAnsi="Arial" w:cs="Arial"/>
          <w:color w:val="000000"/>
        </w:rPr>
        <w:t xml:space="preserve"> myeloid cells as central hubs in TLS and Cx3cr1</w:t>
      </w:r>
      <w:r w:rsidRPr="00512030">
        <w:rPr>
          <w:rFonts w:ascii="Cambria Math" w:hAnsi="Cambria Math" w:cs="Cambria Math"/>
          <w:color w:val="000000"/>
        </w:rPr>
        <w:t>⁺</w:t>
      </w:r>
      <w:r w:rsidRPr="0051203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myeloid cells</w:t>
      </w:r>
      <w:r w:rsidRPr="00512030">
        <w:rPr>
          <w:rFonts w:ascii="Arial" w:hAnsi="Arial" w:cs="Arial"/>
          <w:color w:val="000000"/>
        </w:rPr>
        <w:t xml:space="preserve"> as hubs in LP. Notably, unbiased network inference revealed a strong</w:t>
      </w:r>
      <w:r>
        <w:rPr>
          <w:rFonts w:ascii="Arial" w:hAnsi="Arial" w:cs="Arial"/>
          <w:color w:val="000000"/>
        </w:rPr>
        <w:t xml:space="preserve"> communication between</w:t>
      </w:r>
      <w:r w:rsidRPr="00512030">
        <w:rPr>
          <w:rFonts w:ascii="Arial" w:hAnsi="Arial" w:cs="Arial"/>
          <w:color w:val="000000"/>
        </w:rPr>
        <w:t xml:space="preserve"> Mmp12</w:t>
      </w:r>
      <w:r w:rsidRPr="00512030">
        <w:rPr>
          <w:rFonts w:ascii="Cambria Math" w:hAnsi="Cambria Math" w:cs="Cambria Math"/>
          <w:color w:val="000000"/>
        </w:rPr>
        <w:t>⁺</w:t>
      </w:r>
      <w:r>
        <w:rPr>
          <w:rFonts w:ascii="Arial" w:hAnsi="Arial" w:cs="Arial"/>
          <w:color w:val="000000"/>
        </w:rPr>
        <w:t xml:space="preserve"> cells and </w:t>
      </w:r>
      <w:r w:rsidRPr="00512030">
        <w:rPr>
          <w:rFonts w:ascii="Arial" w:hAnsi="Arial" w:cs="Arial"/>
          <w:color w:val="000000"/>
        </w:rPr>
        <w:t>IgG plasma cell</w:t>
      </w:r>
      <w:r>
        <w:rPr>
          <w:rFonts w:ascii="Arial" w:hAnsi="Arial" w:cs="Arial"/>
          <w:color w:val="000000"/>
        </w:rPr>
        <w:t>s,</w:t>
      </w:r>
      <w:r w:rsidRPr="00512030">
        <w:rPr>
          <w:rFonts w:ascii="Arial" w:hAnsi="Arial" w:cs="Arial"/>
          <w:color w:val="000000"/>
        </w:rPr>
        <w:t xml:space="preserve"> unique to TLS, suggesting a mechanistic axis that may drive TLS formation. </w:t>
      </w:r>
    </w:p>
    <w:p w14:paraId="59E89F59" w14:textId="77777777" w:rsidR="00512030" w:rsidRDefault="00512030" w:rsidP="00512030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000000"/>
        </w:rPr>
      </w:pPr>
    </w:p>
    <w:p w14:paraId="734AD679" w14:textId="5CE12457" w:rsidR="005E6FD0" w:rsidRPr="00F5292A" w:rsidRDefault="00512030" w:rsidP="00F5292A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512030">
        <w:rPr>
          <w:rFonts w:ascii="Arial" w:hAnsi="Arial" w:cs="Arial"/>
          <w:color w:val="000000"/>
        </w:rPr>
        <w:t>These findings define distinct immune architectures across colitis models and establish a foundation for gene</w:t>
      </w:r>
      <w:r>
        <w:rPr>
          <w:rFonts w:ascii="Arial" w:hAnsi="Arial" w:cs="Arial"/>
          <w:color w:val="000000"/>
        </w:rPr>
        <w:t>-</w:t>
      </w:r>
      <w:r w:rsidRPr="00512030">
        <w:rPr>
          <w:rFonts w:ascii="Arial" w:hAnsi="Arial" w:cs="Arial"/>
          <w:color w:val="000000"/>
        </w:rPr>
        <w:t>level dissection of pathways that initiate and sustain TLS in intestinal inflammation.</w:t>
      </w:r>
    </w:p>
    <w:sectPr w:rsidR="005E6FD0" w:rsidRPr="00F52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65DA3"/>
    <w:multiLevelType w:val="hybridMultilevel"/>
    <w:tmpl w:val="E3782B1E"/>
    <w:lvl w:ilvl="0" w:tplc="6748C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84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9F"/>
    <w:rsid w:val="00021695"/>
    <w:rsid w:val="0002537F"/>
    <w:rsid w:val="000612F9"/>
    <w:rsid w:val="001411C8"/>
    <w:rsid w:val="00154216"/>
    <w:rsid w:val="00255F9F"/>
    <w:rsid w:val="00262DC2"/>
    <w:rsid w:val="002C7304"/>
    <w:rsid w:val="0035235E"/>
    <w:rsid w:val="00371F78"/>
    <w:rsid w:val="00463499"/>
    <w:rsid w:val="004C02D3"/>
    <w:rsid w:val="00512030"/>
    <w:rsid w:val="00594C66"/>
    <w:rsid w:val="005B3E85"/>
    <w:rsid w:val="005D1654"/>
    <w:rsid w:val="005E6FD0"/>
    <w:rsid w:val="00694CCD"/>
    <w:rsid w:val="006B5635"/>
    <w:rsid w:val="00825282"/>
    <w:rsid w:val="009A25C3"/>
    <w:rsid w:val="009A6886"/>
    <w:rsid w:val="009C0255"/>
    <w:rsid w:val="00B16B8D"/>
    <w:rsid w:val="00B17F9B"/>
    <w:rsid w:val="00B66557"/>
    <w:rsid w:val="00B90EC5"/>
    <w:rsid w:val="00BA1E17"/>
    <w:rsid w:val="00C908A6"/>
    <w:rsid w:val="00C91E1F"/>
    <w:rsid w:val="00D360B0"/>
    <w:rsid w:val="00ED67DE"/>
    <w:rsid w:val="00F17C14"/>
    <w:rsid w:val="00F5292A"/>
    <w:rsid w:val="00F5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8AB11"/>
  <w15:chartTrackingRefBased/>
  <w15:docId w15:val="{65F56560-4A0F-B64E-99EE-59DB50B6D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B8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F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F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F9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F9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F9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F9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F9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F9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F9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F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F9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5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F9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5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F9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5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F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360B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908A6"/>
    <w:rPr>
      <w:b/>
      <w:bCs/>
    </w:rPr>
  </w:style>
  <w:style w:type="character" w:customStyle="1" w:styleId="math-inline">
    <w:name w:val="math-inline"/>
    <w:basedOn w:val="DefaultParagraphFont"/>
    <w:rsid w:val="00C90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210</Words>
  <Characters>1416</Characters>
  <Application>Microsoft Office Word</Application>
  <DocSecurity>0</DocSecurity>
  <Lines>26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Clark, Amanda M</dc:creator>
  <cp:keywords/>
  <dc:description/>
  <cp:lastModifiedBy>Clark, Amanda M</cp:lastModifiedBy>
  <cp:revision>6</cp:revision>
  <dcterms:created xsi:type="dcterms:W3CDTF">2026-02-22T18:00:00Z</dcterms:created>
  <dcterms:modified xsi:type="dcterms:W3CDTF">2026-03-03T04:18:00Z</dcterms:modified>
</cp:coreProperties>
</file>