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DB062" w14:textId="4E426B54" w:rsidR="00C92F56" w:rsidRDefault="00C92F56" w:rsidP="00D24512">
      <w:r>
        <w:rPr>
          <w:b/>
          <w:bCs/>
        </w:rPr>
        <w:t xml:space="preserve">Statistical </w:t>
      </w:r>
      <w:r w:rsidR="00D24512" w:rsidRPr="00D24512">
        <w:rPr>
          <w:b/>
          <w:bCs/>
        </w:rPr>
        <w:t>Methods:</w:t>
      </w:r>
      <w:r w:rsidR="00D24512">
        <w:rPr>
          <w:b/>
          <w:bCs/>
        </w:rPr>
        <w:t xml:space="preserve"> </w:t>
      </w:r>
      <w:r w:rsidR="006B1ECA" w:rsidRPr="006B1ECA">
        <w:t>This retrospective study included 49 patients who underwent xxx surgery between 2021-09-10 and 2024-07-01, with 41 patients treated in a hospital outpatient department (HOPD) and 8 in an ambulatory surgery center (ASC). We evaluated the cost-effectiveness of HOPD versus ASC using two complementary approaches. First, we fit multivariable linear regression models for change in quality-adjusted life year (ΔQALY) and total costs, adjusting for age, sex, BMI, smoking status, comorbidity (CCI score), and hospital length of stay. Incremental differences in QALYs and costs between settings were estimated using the marginal means (EMMs) framework with t-tests for significance testing, and incremental cost-effectiveness ratios (ICERs) were derived. Uncertainty was quantified via nonparametric bootstrapping (2,000 replicates), and cost-effectiveness acceptability curves (CEACs) were generated based on the net monetary benefit (NMB) framework. Second, we examined the ratio of QALY gain per unit cost (ΔQALY/Cost). Comparisons between HOPD and ASC were performed using a Wilcoxon rank-sum test, followed by an ordinary least squares (OLS) regression model adjusting for the same covariates to estimate adjusted differences.</w:t>
      </w:r>
    </w:p>
    <w:p w14:paraId="5BE369A5" w14:textId="58986148" w:rsidR="00D24512" w:rsidRPr="00D24512" w:rsidRDefault="00D24512" w:rsidP="00AF0858">
      <w:pPr>
        <w:rPr>
          <w:b/>
          <w:bCs/>
        </w:rPr>
      </w:pPr>
      <w:r w:rsidRPr="00D24512">
        <w:rPr>
          <w:b/>
          <w:bCs/>
        </w:rPr>
        <w:t>Results:</w:t>
      </w:r>
      <w:r>
        <w:rPr>
          <w:b/>
          <w:bCs/>
        </w:rPr>
        <w:t xml:space="preserve"> </w:t>
      </w:r>
      <w:r w:rsidR="00AF0858" w:rsidRPr="00AF0858">
        <w:t>Among the 49 patients, the adjusted incremental QALY gain for HOPD compared with ASC was small and not statistically significant (ΔQALY = 0.036; 95% CI: –0.029 to 0.101), while costs were higher but also imprecisely estimated (</w:t>
      </w:r>
      <w:proofErr w:type="spellStart"/>
      <w:r w:rsidR="00AF0858" w:rsidRPr="00AF0858">
        <w:t>ΔCost</w:t>
      </w:r>
      <w:proofErr w:type="spellEnd"/>
      <w:r w:rsidR="00AF0858" w:rsidRPr="00AF0858">
        <w:t xml:space="preserve"> = $1,439; 95% CI: –$2,938 to $5,817). The resulting ICER was $40,456 per QALY gained, with wide bootstrapped intervals (–$136,215 to $672,066). Combining the ICER with the CEAC analysis, a willingness-to-pay threshold of $40,000–$45,000 per QALY appeared to be a cutoff range at which HOPD and ASC were equally preferred. At a willingness-to-pay threshold of $100,000/QALY, the net monetary benefit favored HOPD (NMB = $2,118; 95% CI: –$5,541 to $9,777), with a 68% probability of cost-effectiveness; this probability increased to </w:t>
      </w:r>
      <w:r w:rsidR="00B74C25">
        <w:t xml:space="preserve">around </w:t>
      </w:r>
      <w:r w:rsidR="00AF0858" w:rsidRPr="00AF0858">
        <w:t xml:space="preserve">79% at $200,000/QALY. In the QALY-per-cost analysis, no significant differences were observed between settings (Wilcoxon p = 0.13; adjusted QALY-per-cost difference for HOPD vs ASC = 1.8×10⁻⁷, 95% CI: –5.9×10⁻⁶ to 6.2×10⁻⁶; p = 0.95). </w:t>
      </w:r>
      <w:r w:rsidR="00C66EBE">
        <w:t>As a summary</w:t>
      </w:r>
      <w:r w:rsidR="00AF0858" w:rsidRPr="00AF0858">
        <w:t>, although both analyses suggested that HOPD settings were associated with higher costs and greater QALY gains, with a higher efficiency measured by QALY gain per unit cost, there was insufficient evidence to demonstrate that these differences were statistically significant.</w:t>
      </w:r>
    </w:p>
    <w:sectPr w:rsidR="00D24512" w:rsidRPr="00D245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E49"/>
    <w:rsid w:val="00012BF1"/>
    <w:rsid w:val="00031636"/>
    <w:rsid w:val="000402C0"/>
    <w:rsid w:val="00047991"/>
    <w:rsid w:val="00050C2E"/>
    <w:rsid w:val="00052040"/>
    <w:rsid w:val="00077C5A"/>
    <w:rsid w:val="000873EE"/>
    <w:rsid w:val="0008742C"/>
    <w:rsid w:val="00090B25"/>
    <w:rsid w:val="000A1BF0"/>
    <w:rsid w:val="000B2CA0"/>
    <w:rsid w:val="000B6D8A"/>
    <w:rsid w:val="000D0F6C"/>
    <w:rsid w:val="000D18BB"/>
    <w:rsid w:val="000E3CAF"/>
    <w:rsid w:val="000F602E"/>
    <w:rsid w:val="0010120C"/>
    <w:rsid w:val="001079F4"/>
    <w:rsid w:val="00113CE8"/>
    <w:rsid w:val="00123F9B"/>
    <w:rsid w:val="00126B97"/>
    <w:rsid w:val="001305D0"/>
    <w:rsid w:val="00136544"/>
    <w:rsid w:val="00147C81"/>
    <w:rsid w:val="00155928"/>
    <w:rsid w:val="00166CBB"/>
    <w:rsid w:val="00187966"/>
    <w:rsid w:val="001A2A58"/>
    <w:rsid w:val="001A448A"/>
    <w:rsid w:val="001A523E"/>
    <w:rsid w:val="001C7568"/>
    <w:rsid w:val="001D0317"/>
    <w:rsid w:val="001D5BA5"/>
    <w:rsid w:val="001E402A"/>
    <w:rsid w:val="001E43CD"/>
    <w:rsid w:val="001F79F2"/>
    <w:rsid w:val="00240028"/>
    <w:rsid w:val="002411CF"/>
    <w:rsid w:val="00246B0E"/>
    <w:rsid w:val="002530F4"/>
    <w:rsid w:val="00253842"/>
    <w:rsid w:val="00260271"/>
    <w:rsid w:val="00261E0A"/>
    <w:rsid w:val="00265715"/>
    <w:rsid w:val="0026732D"/>
    <w:rsid w:val="002673ED"/>
    <w:rsid w:val="00270E81"/>
    <w:rsid w:val="002736E1"/>
    <w:rsid w:val="002838DD"/>
    <w:rsid w:val="00297B25"/>
    <w:rsid w:val="002A79D3"/>
    <w:rsid w:val="002C0CF9"/>
    <w:rsid w:val="002C739B"/>
    <w:rsid w:val="002E007F"/>
    <w:rsid w:val="002F02BE"/>
    <w:rsid w:val="002F0C17"/>
    <w:rsid w:val="00303355"/>
    <w:rsid w:val="0031673D"/>
    <w:rsid w:val="00320924"/>
    <w:rsid w:val="003302A4"/>
    <w:rsid w:val="00330EE6"/>
    <w:rsid w:val="00346C98"/>
    <w:rsid w:val="00350685"/>
    <w:rsid w:val="0035656D"/>
    <w:rsid w:val="00357447"/>
    <w:rsid w:val="003719A8"/>
    <w:rsid w:val="00376E4A"/>
    <w:rsid w:val="00380484"/>
    <w:rsid w:val="00397249"/>
    <w:rsid w:val="003A18C1"/>
    <w:rsid w:val="003B2219"/>
    <w:rsid w:val="003B50DB"/>
    <w:rsid w:val="003B7FD7"/>
    <w:rsid w:val="003C287D"/>
    <w:rsid w:val="003C61CF"/>
    <w:rsid w:val="003C7E49"/>
    <w:rsid w:val="003D1997"/>
    <w:rsid w:val="003E1B33"/>
    <w:rsid w:val="003E3AE4"/>
    <w:rsid w:val="003F71B5"/>
    <w:rsid w:val="004038DD"/>
    <w:rsid w:val="004101AC"/>
    <w:rsid w:val="004333FF"/>
    <w:rsid w:val="0044709B"/>
    <w:rsid w:val="00457373"/>
    <w:rsid w:val="00477D4A"/>
    <w:rsid w:val="00481D06"/>
    <w:rsid w:val="004862CC"/>
    <w:rsid w:val="004A63D1"/>
    <w:rsid w:val="004B51D8"/>
    <w:rsid w:val="004B7542"/>
    <w:rsid w:val="004C6346"/>
    <w:rsid w:val="004D4756"/>
    <w:rsid w:val="005119B7"/>
    <w:rsid w:val="00520E1F"/>
    <w:rsid w:val="00521693"/>
    <w:rsid w:val="00525AE6"/>
    <w:rsid w:val="00526D2B"/>
    <w:rsid w:val="00531599"/>
    <w:rsid w:val="00540609"/>
    <w:rsid w:val="005517E7"/>
    <w:rsid w:val="005723C3"/>
    <w:rsid w:val="00573ABF"/>
    <w:rsid w:val="00573D78"/>
    <w:rsid w:val="00574542"/>
    <w:rsid w:val="005818F3"/>
    <w:rsid w:val="00590D4E"/>
    <w:rsid w:val="00591C9B"/>
    <w:rsid w:val="0059305B"/>
    <w:rsid w:val="005A0F05"/>
    <w:rsid w:val="005A4DAC"/>
    <w:rsid w:val="005B7D69"/>
    <w:rsid w:val="005C3841"/>
    <w:rsid w:val="005C7EDE"/>
    <w:rsid w:val="005D745F"/>
    <w:rsid w:val="005F67B5"/>
    <w:rsid w:val="006111FA"/>
    <w:rsid w:val="00626867"/>
    <w:rsid w:val="00626EFE"/>
    <w:rsid w:val="006335B6"/>
    <w:rsid w:val="00650BA8"/>
    <w:rsid w:val="00651994"/>
    <w:rsid w:val="00663C37"/>
    <w:rsid w:val="00664A02"/>
    <w:rsid w:val="0066706F"/>
    <w:rsid w:val="00676EF5"/>
    <w:rsid w:val="0067759B"/>
    <w:rsid w:val="0069514B"/>
    <w:rsid w:val="006A1C10"/>
    <w:rsid w:val="006A4FC2"/>
    <w:rsid w:val="006A5F88"/>
    <w:rsid w:val="006B14A0"/>
    <w:rsid w:val="006B1ECA"/>
    <w:rsid w:val="006C03A2"/>
    <w:rsid w:val="006C11A5"/>
    <w:rsid w:val="006C3FE9"/>
    <w:rsid w:val="006C655A"/>
    <w:rsid w:val="006D07B3"/>
    <w:rsid w:val="006D3BE8"/>
    <w:rsid w:val="006F23FD"/>
    <w:rsid w:val="006F3D20"/>
    <w:rsid w:val="006F3D59"/>
    <w:rsid w:val="00700F9C"/>
    <w:rsid w:val="00702ADF"/>
    <w:rsid w:val="00706B32"/>
    <w:rsid w:val="00707F1D"/>
    <w:rsid w:val="00712D3D"/>
    <w:rsid w:val="00727EE1"/>
    <w:rsid w:val="00744378"/>
    <w:rsid w:val="00747A67"/>
    <w:rsid w:val="0075441B"/>
    <w:rsid w:val="007612E6"/>
    <w:rsid w:val="007706B1"/>
    <w:rsid w:val="0077725E"/>
    <w:rsid w:val="00780D0B"/>
    <w:rsid w:val="00795941"/>
    <w:rsid w:val="007A4616"/>
    <w:rsid w:val="007A5DF0"/>
    <w:rsid w:val="007B25BE"/>
    <w:rsid w:val="007C1817"/>
    <w:rsid w:val="007C5112"/>
    <w:rsid w:val="007D47F9"/>
    <w:rsid w:val="007D6752"/>
    <w:rsid w:val="007E2E18"/>
    <w:rsid w:val="007F2AB5"/>
    <w:rsid w:val="007F2BEE"/>
    <w:rsid w:val="007F5926"/>
    <w:rsid w:val="008039C7"/>
    <w:rsid w:val="00805CCA"/>
    <w:rsid w:val="00822239"/>
    <w:rsid w:val="0083099E"/>
    <w:rsid w:val="00847909"/>
    <w:rsid w:val="008512CF"/>
    <w:rsid w:val="008570D2"/>
    <w:rsid w:val="008577C6"/>
    <w:rsid w:val="0086553F"/>
    <w:rsid w:val="00865BED"/>
    <w:rsid w:val="00871F1A"/>
    <w:rsid w:val="00876328"/>
    <w:rsid w:val="00886DD8"/>
    <w:rsid w:val="008A0368"/>
    <w:rsid w:val="008B40C9"/>
    <w:rsid w:val="008B6214"/>
    <w:rsid w:val="008C2DDD"/>
    <w:rsid w:val="008C577C"/>
    <w:rsid w:val="008E5869"/>
    <w:rsid w:val="008E65BA"/>
    <w:rsid w:val="00901575"/>
    <w:rsid w:val="00903405"/>
    <w:rsid w:val="009059A2"/>
    <w:rsid w:val="00912117"/>
    <w:rsid w:val="00913CAE"/>
    <w:rsid w:val="00921862"/>
    <w:rsid w:val="009240AD"/>
    <w:rsid w:val="00934FD1"/>
    <w:rsid w:val="0093563C"/>
    <w:rsid w:val="00946218"/>
    <w:rsid w:val="00950B2D"/>
    <w:rsid w:val="00951913"/>
    <w:rsid w:val="00962A9F"/>
    <w:rsid w:val="00962B88"/>
    <w:rsid w:val="00973F55"/>
    <w:rsid w:val="00977B92"/>
    <w:rsid w:val="0098282C"/>
    <w:rsid w:val="009878B5"/>
    <w:rsid w:val="009A19B8"/>
    <w:rsid w:val="009B3668"/>
    <w:rsid w:val="009C6D8E"/>
    <w:rsid w:val="009E0C8B"/>
    <w:rsid w:val="00A367CC"/>
    <w:rsid w:val="00A433B4"/>
    <w:rsid w:val="00A55451"/>
    <w:rsid w:val="00A65AB5"/>
    <w:rsid w:val="00A65CC0"/>
    <w:rsid w:val="00A7227F"/>
    <w:rsid w:val="00A75AA2"/>
    <w:rsid w:val="00A87C38"/>
    <w:rsid w:val="00AA56D5"/>
    <w:rsid w:val="00AB5A81"/>
    <w:rsid w:val="00AC7681"/>
    <w:rsid w:val="00AF0714"/>
    <w:rsid w:val="00AF0858"/>
    <w:rsid w:val="00AF09D7"/>
    <w:rsid w:val="00AF599D"/>
    <w:rsid w:val="00B134EE"/>
    <w:rsid w:val="00B1652E"/>
    <w:rsid w:val="00B24A73"/>
    <w:rsid w:val="00B25C78"/>
    <w:rsid w:val="00B34668"/>
    <w:rsid w:val="00B41E4B"/>
    <w:rsid w:val="00B51DA5"/>
    <w:rsid w:val="00B54272"/>
    <w:rsid w:val="00B602BB"/>
    <w:rsid w:val="00B660E4"/>
    <w:rsid w:val="00B7323A"/>
    <w:rsid w:val="00B74C25"/>
    <w:rsid w:val="00B84B79"/>
    <w:rsid w:val="00B970B3"/>
    <w:rsid w:val="00BC0E4E"/>
    <w:rsid w:val="00BC5366"/>
    <w:rsid w:val="00BC5A96"/>
    <w:rsid w:val="00BD19B6"/>
    <w:rsid w:val="00BD6C64"/>
    <w:rsid w:val="00BE7756"/>
    <w:rsid w:val="00BF27E9"/>
    <w:rsid w:val="00C039DD"/>
    <w:rsid w:val="00C10311"/>
    <w:rsid w:val="00C11595"/>
    <w:rsid w:val="00C1648A"/>
    <w:rsid w:val="00C208BA"/>
    <w:rsid w:val="00C23B72"/>
    <w:rsid w:val="00C24E96"/>
    <w:rsid w:val="00C51632"/>
    <w:rsid w:val="00C51A50"/>
    <w:rsid w:val="00C531D0"/>
    <w:rsid w:val="00C57167"/>
    <w:rsid w:val="00C62030"/>
    <w:rsid w:val="00C66EBE"/>
    <w:rsid w:val="00C9064C"/>
    <w:rsid w:val="00C92F56"/>
    <w:rsid w:val="00CC3696"/>
    <w:rsid w:val="00CC3DAE"/>
    <w:rsid w:val="00CD2DA1"/>
    <w:rsid w:val="00CF3A10"/>
    <w:rsid w:val="00D04C2B"/>
    <w:rsid w:val="00D06602"/>
    <w:rsid w:val="00D06655"/>
    <w:rsid w:val="00D079F4"/>
    <w:rsid w:val="00D13741"/>
    <w:rsid w:val="00D154BE"/>
    <w:rsid w:val="00D15F06"/>
    <w:rsid w:val="00D24512"/>
    <w:rsid w:val="00D32A7B"/>
    <w:rsid w:val="00D32F62"/>
    <w:rsid w:val="00D52DA4"/>
    <w:rsid w:val="00D83413"/>
    <w:rsid w:val="00D87EB5"/>
    <w:rsid w:val="00DB6D8E"/>
    <w:rsid w:val="00DB76CC"/>
    <w:rsid w:val="00DF4249"/>
    <w:rsid w:val="00DF5970"/>
    <w:rsid w:val="00DF6BB9"/>
    <w:rsid w:val="00DF7284"/>
    <w:rsid w:val="00E029B1"/>
    <w:rsid w:val="00E05736"/>
    <w:rsid w:val="00E06365"/>
    <w:rsid w:val="00E15F6F"/>
    <w:rsid w:val="00E17303"/>
    <w:rsid w:val="00E233C2"/>
    <w:rsid w:val="00E24F33"/>
    <w:rsid w:val="00E31EE3"/>
    <w:rsid w:val="00E36A0D"/>
    <w:rsid w:val="00E4072C"/>
    <w:rsid w:val="00E40FB2"/>
    <w:rsid w:val="00E41C1A"/>
    <w:rsid w:val="00E438CD"/>
    <w:rsid w:val="00E455F0"/>
    <w:rsid w:val="00E5341E"/>
    <w:rsid w:val="00E64F40"/>
    <w:rsid w:val="00E66926"/>
    <w:rsid w:val="00E81A42"/>
    <w:rsid w:val="00E82E47"/>
    <w:rsid w:val="00E903B0"/>
    <w:rsid w:val="00EA0060"/>
    <w:rsid w:val="00EA295A"/>
    <w:rsid w:val="00EB24CB"/>
    <w:rsid w:val="00EB48B7"/>
    <w:rsid w:val="00EB5284"/>
    <w:rsid w:val="00EC1E82"/>
    <w:rsid w:val="00EC3635"/>
    <w:rsid w:val="00EE0FA9"/>
    <w:rsid w:val="00EE2529"/>
    <w:rsid w:val="00EF44A1"/>
    <w:rsid w:val="00EF6329"/>
    <w:rsid w:val="00F1617A"/>
    <w:rsid w:val="00F3670A"/>
    <w:rsid w:val="00F37192"/>
    <w:rsid w:val="00F54615"/>
    <w:rsid w:val="00F627BD"/>
    <w:rsid w:val="00F65B06"/>
    <w:rsid w:val="00F67437"/>
    <w:rsid w:val="00F71A03"/>
    <w:rsid w:val="00F75160"/>
    <w:rsid w:val="00F75DE9"/>
    <w:rsid w:val="00F80F69"/>
    <w:rsid w:val="00F87668"/>
    <w:rsid w:val="00F950C4"/>
    <w:rsid w:val="00FA0D8E"/>
    <w:rsid w:val="00FA556C"/>
    <w:rsid w:val="00FB1AFC"/>
    <w:rsid w:val="00FB31E9"/>
    <w:rsid w:val="00FD592A"/>
    <w:rsid w:val="00FD7BEB"/>
    <w:rsid w:val="00FE6DEF"/>
    <w:rsid w:val="00FF32E0"/>
    <w:rsid w:val="00FF6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01FC0"/>
  <w15:chartTrackingRefBased/>
  <w15:docId w15:val="{79892EF9-B7A9-4570-B158-7CF856BCF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161426">
      <w:bodyDiv w:val="1"/>
      <w:marLeft w:val="0"/>
      <w:marRight w:val="0"/>
      <w:marTop w:val="0"/>
      <w:marBottom w:val="0"/>
      <w:divBdr>
        <w:top w:val="none" w:sz="0" w:space="0" w:color="auto"/>
        <w:left w:val="none" w:sz="0" w:space="0" w:color="auto"/>
        <w:bottom w:val="none" w:sz="0" w:space="0" w:color="auto"/>
        <w:right w:val="none" w:sz="0" w:space="0" w:color="auto"/>
      </w:divBdr>
    </w:div>
    <w:div w:id="560752415">
      <w:bodyDiv w:val="1"/>
      <w:marLeft w:val="0"/>
      <w:marRight w:val="0"/>
      <w:marTop w:val="0"/>
      <w:marBottom w:val="0"/>
      <w:divBdr>
        <w:top w:val="none" w:sz="0" w:space="0" w:color="auto"/>
        <w:left w:val="none" w:sz="0" w:space="0" w:color="auto"/>
        <w:bottom w:val="none" w:sz="0" w:space="0" w:color="auto"/>
        <w:right w:val="none" w:sz="0" w:space="0" w:color="auto"/>
      </w:divBdr>
    </w:div>
    <w:div w:id="1338994382">
      <w:bodyDiv w:val="1"/>
      <w:marLeft w:val="0"/>
      <w:marRight w:val="0"/>
      <w:marTop w:val="0"/>
      <w:marBottom w:val="0"/>
      <w:divBdr>
        <w:top w:val="none" w:sz="0" w:space="0" w:color="auto"/>
        <w:left w:val="none" w:sz="0" w:space="0" w:color="auto"/>
        <w:bottom w:val="none" w:sz="0" w:space="0" w:color="auto"/>
        <w:right w:val="none" w:sz="0" w:space="0" w:color="auto"/>
      </w:divBdr>
    </w:div>
    <w:div w:id="1759136906">
      <w:bodyDiv w:val="1"/>
      <w:marLeft w:val="0"/>
      <w:marRight w:val="0"/>
      <w:marTop w:val="0"/>
      <w:marBottom w:val="0"/>
      <w:divBdr>
        <w:top w:val="none" w:sz="0" w:space="0" w:color="auto"/>
        <w:left w:val="none" w:sz="0" w:space="0" w:color="auto"/>
        <w:bottom w:val="none" w:sz="0" w:space="0" w:color="auto"/>
        <w:right w:val="none" w:sz="0" w:space="0" w:color="auto"/>
      </w:divBdr>
    </w:div>
    <w:div w:id="2004359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2823</TotalTime>
  <Pages>1</Pages>
  <Words>369</Words>
  <Characters>2183</Characters>
  <Application>Microsoft Office Word</Application>
  <DocSecurity>0</DocSecurity>
  <Lines>26</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 Jun</dc:creator>
  <cp:keywords/>
  <dc:description/>
  <cp:lastModifiedBy>Jin, Jun</cp:lastModifiedBy>
  <cp:revision>444</cp:revision>
  <dcterms:created xsi:type="dcterms:W3CDTF">2024-10-21T14:43:00Z</dcterms:created>
  <dcterms:modified xsi:type="dcterms:W3CDTF">2026-03-17T15:25:00Z</dcterms:modified>
</cp:coreProperties>
</file>