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6732" w14:textId="77777777" w:rsidR="00F05A4B" w:rsidRDefault="00F05A4B">
      <w:pPr>
        <w:spacing w:before="120"/>
        <w:rPr>
          <w:rFonts w:cs="Arial"/>
          <w:color w:val="ADA696" w:themeColor="accent2"/>
          <w:szCs w:val="20"/>
        </w:rPr>
      </w:pPr>
      <w:bookmarkStart w:id="0" w:name="_Hlk13590031"/>
      <w:bookmarkEnd w:id="0"/>
    </w:p>
    <w:p w14:paraId="51A6B1FE" w14:textId="77777777" w:rsidR="00F05A4B" w:rsidRDefault="00F05A4B"/>
    <w:p w14:paraId="03074C65" w14:textId="77777777" w:rsidR="00F05A4B" w:rsidRDefault="00F05A4B">
      <w:pPr>
        <w:tabs>
          <w:tab w:val="left" w:pos="7342"/>
        </w:tabs>
      </w:pPr>
    </w:p>
    <w:p w14:paraId="4A0A807A" w14:textId="77777777" w:rsidR="00F05A4B" w:rsidRDefault="00F05A4B"/>
    <w:p w14:paraId="0FEFB499" w14:textId="77777777" w:rsidR="00F05A4B" w:rsidRDefault="0003635B">
      <w:pPr>
        <w:spacing w:after="200" w:line="276" w:lineRule="auto"/>
        <w:jc w:val="left"/>
      </w:pPr>
      <w:r>
        <w:br w:type="page"/>
      </w:r>
    </w:p>
    <w:p w14:paraId="79F007C1" w14:textId="77777777" w:rsidR="00F05A4B" w:rsidRDefault="00F05A4B"/>
    <w:p w14:paraId="08665D78" w14:textId="77777777" w:rsidR="00F05A4B" w:rsidRDefault="00F05A4B"/>
    <w:p w14:paraId="5A1C7CDD" w14:textId="77777777" w:rsidR="00F05A4B" w:rsidRDefault="0003635B">
      <w:pPr>
        <w:spacing w:after="200" w:line="276" w:lineRule="auto"/>
        <w:jc w:val="left"/>
        <w:rPr>
          <w:b/>
          <w:color w:val="000000"/>
          <w:sz w:val="26"/>
          <w:szCs w:val="26"/>
        </w:rPr>
      </w:pPr>
      <w:r>
        <w:rPr>
          <w:b/>
          <w:color w:val="000000"/>
          <w:sz w:val="26"/>
          <w:szCs w:val="26"/>
        </w:rPr>
        <w:t>TABLE OF CONTENTS</w:t>
      </w:r>
    </w:p>
    <w:p w14:paraId="11EF13F0" w14:textId="77777777" w:rsidR="00B12BD8" w:rsidRDefault="0003635B">
      <w:pPr>
        <w:pStyle w:val="TOC1"/>
        <w:tabs>
          <w:tab w:val="left" w:pos="403"/>
          <w:tab w:val="right" w:leader="dot" w:pos="9628"/>
        </w:tabs>
        <w:rPr>
          <w:rFonts w:asciiTheme="minorHAnsi" w:eastAsiaTheme="minorEastAsia" w:hAnsiTheme="minorHAnsi"/>
          <w:caps w:val="0"/>
          <w:noProof/>
          <w:sz w:val="22"/>
          <w:lang w:eastAsia="en-GB"/>
        </w:rPr>
      </w:pPr>
      <w:r>
        <w:rPr>
          <w:caps w:val="0"/>
        </w:rPr>
        <w:fldChar w:fldCharType="begin"/>
      </w:r>
      <w:r>
        <w:rPr>
          <w:caps w:val="0"/>
        </w:rPr>
        <w:instrText xml:space="preserve"> TOC \o "1-6" \h \z \u </w:instrText>
      </w:r>
      <w:r>
        <w:rPr>
          <w:caps w:val="0"/>
        </w:rPr>
        <w:fldChar w:fldCharType="separate"/>
      </w:r>
      <w:hyperlink w:anchor="_Toc14085199" w:history="1">
        <w:r w:rsidR="00B12BD8" w:rsidRPr="00C26BA5">
          <w:rPr>
            <w:rStyle w:val="Hyperlink"/>
            <w:noProof/>
          </w:rPr>
          <w:t>1.</w:t>
        </w:r>
        <w:r w:rsidR="00B12BD8">
          <w:rPr>
            <w:rFonts w:asciiTheme="minorHAnsi" w:eastAsiaTheme="minorEastAsia" w:hAnsiTheme="minorHAnsi"/>
            <w:caps w:val="0"/>
            <w:noProof/>
            <w:sz w:val="22"/>
            <w:lang w:eastAsia="en-GB"/>
          </w:rPr>
          <w:tab/>
        </w:r>
        <w:r w:rsidR="00B12BD8" w:rsidRPr="00C26BA5">
          <w:rPr>
            <w:rStyle w:val="Hyperlink"/>
            <w:noProof/>
          </w:rPr>
          <w:t>Executive summary</w:t>
        </w:r>
        <w:r w:rsidR="00B12BD8">
          <w:rPr>
            <w:noProof/>
            <w:webHidden/>
          </w:rPr>
          <w:tab/>
        </w:r>
        <w:r w:rsidR="00B12BD8">
          <w:rPr>
            <w:noProof/>
            <w:webHidden/>
          </w:rPr>
          <w:fldChar w:fldCharType="begin"/>
        </w:r>
        <w:r w:rsidR="00B12BD8">
          <w:rPr>
            <w:noProof/>
            <w:webHidden/>
          </w:rPr>
          <w:instrText xml:space="preserve"> PAGEREF _Toc14085199 \h </w:instrText>
        </w:r>
        <w:r w:rsidR="00B12BD8">
          <w:rPr>
            <w:noProof/>
            <w:webHidden/>
          </w:rPr>
        </w:r>
        <w:r w:rsidR="00B12BD8">
          <w:rPr>
            <w:noProof/>
            <w:webHidden/>
          </w:rPr>
          <w:fldChar w:fldCharType="separate"/>
        </w:r>
        <w:r w:rsidR="00B12BD8">
          <w:rPr>
            <w:noProof/>
            <w:webHidden/>
          </w:rPr>
          <w:t>2</w:t>
        </w:r>
        <w:r w:rsidR="00B12BD8">
          <w:rPr>
            <w:noProof/>
            <w:webHidden/>
          </w:rPr>
          <w:fldChar w:fldCharType="end"/>
        </w:r>
      </w:hyperlink>
    </w:p>
    <w:p w14:paraId="1BDC9603"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0" w:history="1">
        <w:r w:rsidR="00B12BD8" w:rsidRPr="00C26BA5">
          <w:rPr>
            <w:rStyle w:val="Hyperlink"/>
            <w:noProof/>
          </w:rPr>
          <w:t>2.</w:t>
        </w:r>
        <w:r w:rsidR="00B12BD8">
          <w:rPr>
            <w:rFonts w:asciiTheme="minorHAnsi" w:eastAsiaTheme="minorEastAsia" w:hAnsiTheme="minorHAnsi"/>
            <w:caps w:val="0"/>
            <w:noProof/>
            <w:sz w:val="22"/>
            <w:lang w:eastAsia="en-GB"/>
          </w:rPr>
          <w:tab/>
        </w:r>
        <w:r w:rsidR="00B12BD8" w:rsidRPr="00C26BA5">
          <w:rPr>
            <w:rStyle w:val="Hyperlink"/>
            <w:noProof/>
          </w:rPr>
          <w:t>Background to parties</w:t>
        </w:r>
        <w:r w:rsidR="00B12BD8">
          <w:rPr>
            <w:noProof/>
            <w:webHidden/>
          </w:rPr>
          <w:tab/>
        </w:r>
        <w:r w:rsidR="00B12BD8">
          <w:rPr>
            <w:noProof/>
            <w:webHidden/>
          </w:rPr>
          <w:fldChar w:fldCharType="begin"/>
        </w:r>
        <w:r w:rsidR="00B12BD8">
          <w:rPr>
            <w:noProof/>
            <w:webHidden/>
          </w:rPr>
          <w:instrText xml:space="preserve"> PAGEREF _Toc14085200 \h </w:instrText>
        </w:r>
        <w:r w:rsidR="00B12BD8">
          <w:rPr>
            <w:noProof/>
            <w:webHidden/>
          </w:rPr>
        </w:r>
        <w:r w:rsidR="00B12BD8">
          <w:rPr>
            <w:noProof/>
            <w:webHidden/>
          </w:rPr>
          <w:fldChar w:fldCharType="separate"/>
        </w:r>
        <w:r w:rsidR="00B12BD8">
          <w:rPr>
            <w:noProof/>
            <w:webHidden/>
          </w:rPr>
          <w:t>2</w:t>
        </w:r>
        <w:r w:rsidR="00B12BD8">
          <w:rPr>
            <w:noProof/>
            <w:webHidden/>
          </w:rPr>
          <w:fldChar w:fldCharType="end"/>
        </w:r>
      </w:hyperlink>
    </w:p>
    <w:p w14:paraId="7873B0ED" w14:textId="77777777" w:rsidR="00B12BD8" w:rsidRDefault="00426A22">
      <w:pPr>
        <w:pStyle w:val="TOC1"/>
        <w:tabs>
          <w:tab w:val="left" w:pos="601"/>
          <w:tab w:val="right" w:leader="dot" w:pos="9628"/>
        </w:tabs>
        <w:rPr>
          <w:rFonts w:asciiTheme="minorHAnsi" w:eastAsiaTheme="minorEastAsia" w:hAnsiTheme="minorHAnsi"/>
          <w:caps w:val="0"/>
          <w:noProof/>
          <w:sz w:val="22"/>
          <w:lang w:eastAsia="en-GB"/>
        </w:rPr>
      </w:pPr>
      <w:hyperlink w:anchor="_Toc14085201" w:history="1">
        <w:r w:rsidR="00B12BD8" w:rsidRPr="00C26BA5">
          <w:rPr>
            <w:rStyle w:val="Hyperlink"/>
            <w:noProof/>
          </w:rPr>
          <w:t>2.1</w:t>
        </w:r>
        <w:r w:rsidR="00B12BD8">
          <w:rPr>
            <w:rFonts w:asciiTheme="minorHAnsi" w:eastAsiaTheme="minorEastAsia" w:hAnsiTheme="minorHAnsi"/>
            <w:caps w:val="0"/>
            <w:noProof/>
            <w:sz w:val="22"/>
            <w:lang w:eastAsia="en-GB"/>
          </w:rPr>
          <w:tab/>
        </w:r>
        <w:r w:rsidR="00B12BD8" w:rsidRPr="00C26BA5">
          <w:rPr>
            <w:rStyle w:val="Hyperlink"/>
            <w:noProof/>
          </w:rPr>
          <w:t>the firstRand group</w:t>
        </w:r>
        <w:r w:rsidR="00B12BD8">
          <w:rPr>
            <w:noProof/>
            <w:webHidden/>
          </w:rPr>
          <w:tab/>
        </w:r>
        <w:r w:rsidR="00B12BD8">
          <w:rPr>
            <w:noProof/>
            <w:webHidden/>
          </w:rPr>
          <w:fldChar w:fldCharType="begin"/>
        </w:r>
        <w:r w:rsidR="00B12BD8">
          <w:rPr>
            <w:noProof/>
            <w:webHidden/>
          </w:rPr>
          <w:instrText xml:space="preserve"> PAGEREF _Toc14085201 \h </w:instrText>
        </w:r>
        <w:r w:rsidR="00B12BD8">
          <w:rPr>
            <w:noProof/>
            <w:webHidden/>
          </w:rPr>
        </w:r>
        <w:r w:rsidR="00B12BD8">
          <w:rPr>
            <w:noProof/>
            <w:webHidden/>
          </w:rPr>
          <w:fldChar w:fldCharType="separate"/>
        </w:r>
        <w:r w:rsidR="00B12BD8">
          <w:rPr>
            <w:noProof/>
            <w:webHidden/>
          </w:rPr>
          <w:t>2</w:t>
        </w:r>
        <w:r w:rsidR="00B12BD8">
          <w:rPr>
            <w:noProof/>
            <w:webHidden/>
          </w:rPr>
          <w:fldChar w:fldCharType="end"/>
        </w:r>
      </w:hyperlink>
    </w:p>
    <w:p w14:paraId="09576B03" w14:textId="77777777" w:rsidR="00B12BD8" w:rsidRDefault="00426A22">
      <w:pPr>
        <w:pStyle w:val="TOC1"/>
        <w:tabs>
          <w:tab w:val="left" w:pos="601"/>
          <w:tab w:val="right" w:leader="dot" w:pos="9628"/>
        </w:tabs>
        <w:rPr>
          <w:rFonts w:asciiTheme="minorHAnsi" w:eastAsiaTheme="minorEastAsia" w:hAnsiTheme="minorHAnsi"/>
          <w:caps w:val="0"/>
          <w:noProof/>
          <w:sz w:val="22"/>
          <w:lang w:eastAsia="en-GB"/>
        </w:rPr>
      </w:pPr>
      <w:hyperlink w:anchor="_Toc14085202" w:history="1">
        <w:r w:rsidR="00B12BD8" w:rsidRPr="00C26BA5">
          <w:rPr>
            <w:rStyle w:val="Hyperlink"/>
            <w:noProof/>
          </w:rPr>
          <w:t>2.2</w:t>
        </w:r>
        <w:r w:rsidR="00B12BD8">
          <w:rPr>
            <w:rFonts w:asciiTheme="minorHAnsi" w:eastAsiaTheme="minorEastAsia" w:hAnsiTheme="minorHAnsi"/>
            <w:caps w:val="0"/>
            <w:noProof/>
            <w:sz w:val="22"/>
            <w:lang w:eastAsia="en-GB"/>
          </w:rPr>
          <w:tab/>
        </w:r>
        <w:r w:rsidR="00B12BD8" w:rsidRPr="00C26BA5">
          <w:rPr>
            <w:rStyle w:val="Hyperlink"/>
            <w:noProof/>
          </w:rPr>
          <w:t>GHL Bank</w:t>
        </w:r>
        <w:r w:rsidR="00B12BD8">
          <w:rPr>
            <w:noProof/>
            <w:webHidden/>
          </w:rPr>
          <w:tab/>
        </w:r>
        <w:r w:rsidR="00B12BD8">
          <w:rPr>
            <w:noProof/>
            <w:webHidden/>
          </w:rPr>
          <w:fldChar w:fldCharType="begin"/>
        </w:r>
        <w:r w:rsidR="00B12BD8">
          <w:rPr>
            <w:noProof/>
            <w:webHidden/>
          </w:rPr>
          <w:instrText xml:space="preserve"> PAGEREF _Toc14085202 \h </w:instrText>
        </w:r>
        <w:r w:rsidR="00B12BD8">
          <w:rPr>
            <w:noProof/>
            <w:webHidden/>
          </w:rPr>
        </w:r>
        <w:r w:rsidR="00B12BD8">
          <w:rPr>
            <w:noProof/>
            <w:webHidden/>
          </w:rPr>
          <w:fldChar w:fldCharType="separate"/>
        </w:r>
        <w:r w:rsidR="00B12BD8">
          <w:rPr>
            <w:noProof/>
            <w:webHidden/>
          </w:rPr>
          <w:t>4</w:t>
        </w:r>
        <w:r w:rsidR="00B12BD8">
          <w:rPr>
            <w:noProof/>
            <w:webHidden/>
          </w:rPr>
          <w:fldChar w:fldCharType="end"/>
        </w:r>
      </w:hyperlink>
    </w:p>
    <w:p w14:paraId="79B10FC1"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3" w:history="1">
        <w:r w:rsidR="00B12BD8" w:rsidRPr="00C26BA5">
          <w:rPr>
            <w:rStyle w:val="Hyperlink"/>
            <w:noProof/>
          </w:rPr>
          <w:t>3.</w:t>
        </w:r>
        <w:r w:rsidR="00B12BD8">
          <w:rPr>
            <w:rFonts w:asciiTheme="minorHAnsi" w:eastAsiaTheme="minorEastAsia" w:hAnsiTheme="minorHAnsi"/>
            <w:caps w:val="0"/>
            <w:noProof/>
            <w:sz w:val="22"/>
            <w:lang w:eastAsia="en-GB"/>
          </w:rPr>
          <w:tab/>
        </w:r>
        <w:r w:rsidR="00B12BD8" w:rsidRPr="00C26BA5">
          <w:rPr>
            <w:rStyle w:val="Hyperlink"/>
            <w:noProof/>
          </w:rPr>
          <w:t>transaction rationale</w:t>
        </w:r>
        <w:r w:rsidR="00B12BD8">
          <w:rPr>
            <w:noProof/>
            <w:webHidden/>
          </w:rPr>
          <w:tab/>
        </w:r>
        <w:r w:rsidR="00B12BD8">
          <w:rPr>
            <w:noProof/>
            <w:webHidden/>
          </w:rPr>
          <w:fldChar w:fldCharType="begin"/>
        </w:r>
        <w:r w:rsidR="00B12BD8">
          <w:rPr>
            <w:noProof/>
            <w:webHidden/>
          </w:rPr>
          <w:instrText xml:space="preserve"> PAGEREF _Toc14085203 \h </w:instrText>
        </w:r>
        <w:r w:rsidR="00B12BD8">
          <w:rPr>
            <w:noProof/>
            <w:webHidden/>
          </w:rPr>
        </w:r>
        <w:r w:rsidR="00B12BD8">
          <w:rPr>
            <w:noProof/>
            <w:webHidden/>
          </w:rPr>
          <w:fldChar w:fldCharType="separate"/>
        </w:r>
        <w:r w:rsidR="00B12BD8">
          <w:rPr>
            <w:noProof/>
            <w:webHidden/>
          </w:rPr>
          <w:t>5</w:t>
        </w:r>
        <w:r w:rsidR="00B12BD8">
          <w:rPr>
            <w:noProof/>
            <w:webHidden/>
          </w:rPr>
          <w:fldChar w:fldCharType="end"/>
        </w:r>
      </w:hyperlink>
    </w:p>
    <w:p w14:paraId="18B64BC3"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4" w:history="1">
        <w:r w:rsidR="00B12BD8" w:rsidRPr="00C26BA5">
          <w:rPr>
            <w:rStyle w:val="Hyperlink"/>
            <w:noProof/>
          </w:rPr>
          <w:t>4.</w:t>
        </w:r>
        <w:r w:rsidR="00B12BD8">
          <w:rPr>
            <w:rFonts w:asciiTheme="minorHAnsi" w:eastAsiaTheme="minorEastAsia" w:hAnsiTheme="minorHAnsi"/>
            <w:caps w:val="0"/>
            <w:noProof/>
            <w:sz w:val="22"/>
            <w:lang w:eastAsia="en-GB"/>
          </w:rPr>
          <w:tab/>
        </w:r>
        <w:r w:rsidR="00B12BD8" w:rsidRPr="00C26BA5">
          <w:rPr>
            <w:rStyle w:val="Hyperlink"/>
            <w:noProof/>
          </w:rPr>
          <w:t>operating model</w:t>
        </w:r>
        <w:r w:rsidR="00B12BD8">
          <w:rPr>
            <w:noProof/>
            <w:webHidden/>
          </w:rPr>
          <w:tab/>
        </w:r>
        <w:r w:rsidR="00B12BD8">
          <w:rPr>
            <w:noProof/>
            <w:webHidden/>
          </w:rPr>
          <w:fldChar w:fldCharType="begin"/>
        </w:r>
        <w:r w:rsidR="00B12BD8">
          <w:rPr>
            <w:noProof/>
            <w:webHidden/>
          </w:rPr>
          <w:instrText xml:space="preserve"> PAGEREF _Toc14085204 \h </w:instrText>
        </w:r>
        <w:r w:rsidR="00B12BD8">
          <w:rPr>
            <w:noProof/>
            <w:webHidden/>
          </w:rPr>
        </w:r>
        <w:r w:rsidR="00B12BD8">
          <w:rPr>
            <w:noProof/>
            <w:webHidden/>
          </w:rPr>
          <w:fldChar w:fldCharType="separate"/>
        </w:r>
        <w:r w:rsidR="00B12BD8">
          <w:rPr>
            <w:noProof/>
            <w:webHidden/>
          </w:rPr>
          <w:t>9</w:t>
        </w:r>
        <w:r w:rsidR="00B12BD8">
          <w:rPr>
            <w:noProof/>
            <w:webHidden/>
          </w:rPr>
          <w:fldChar w:fldCharType="end"/>
        </w:r>
      </w:hyperlink>
    </w:p>
    <w:p w14:paraId="24853A01"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5" w:history="1">
        <w:r w:rsidR="00B12BD8" w:rsidRPr="00C26BA5">
          <w:rPr>
            <w:rStyle w:val="Hyperlink"/>
            <w:noProof/>
          </w:rPr>
          <w:t>5.</w:t>
        </w:r>
        <w:r w:rsidR="00B12BD8">
          <w:rPr>
            <w:rFonts w:asciiTheme="minorHAnsi" w:eastAsiaTheme="minorEastAsia" w:hAnsiTheme="minorHAnsi"/>
            <w:caps w:val="0"/>
            <w:noProof/>
            <w:sz w:val="22"/>
            <w:lang w:eastAsia="en-GB"/>
          </w:rPr>
          <w:tab/>
        </w:r>
        <w:r w:rsidR="00B12BD8" w:rsidRPr="00C26BA5">
          <w:rPr>
            <w:rStyle w:val="Hyperlink"/>
            <w:noProof/>
          </w:rPr>
          <w:t>governance</w:t>
        </w:r>
        <w:r w:rsidR="00B12BD8">
          <w:rPr>
            <w:noProof/>
            <w:webHidden/>
          </w:rPr>
          <w:tab/>
        </w:r>
        <w:r w:rsidR="00B12BD8">
          <w:rPr>
            <w:noProof/>
            <w:webHidden/>
          </w:rPr>
          <w:fldChar w:fldCharType="begin"/>
        </w:r>
        <w:r w:rsidR="00B12BD8">
          <w:rPr>
            <w:noProof/>
            <w:webHidden/>
          </w:rPr>
          <w:instrText xml:space="preserve"> PAGEREF _Toc14085205 \h </w:instrText>
        </w:r>
        <w:r w:rsidR="00B12BD8">
          <w:rPr>
            <w:noProof/>
            <w:webHidden/>
          </w:rPr>
        </w:r>
        <w:r w:rsidR="00B12BD8">
          <w:rPr>
            <w:noProof/>
            <w:webHidden/>
          </w:rPr>
          <w:fldChar w:fldCharType="separate"/>
        </w:r>
        <w:r w:rsidR="00B12BD8">
          <w:rPr>
            <w:noProof/>
            <w:webHidden/>
          </w:rPr>
          <w:t>10</w:t>
        </w:r>
        <w:r w:rsidR="00B12BD8">
          <w:rPr>
            <w:noProof/>
            <w:webHidden/>
          </w:rPr>
          <w:fldChar w:fldCharType="end"/>
        </w:r>
      </w:hyperlink>
    </w:p>
    <w:p w14:paraId="260EFAC0"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6" w:history="1">
        <w:r w:rsidR="00B12BD8" w:rsidRPr="00C26BA5">
          <w:rPr>
            <w:rStyle w:val="Hyperlink"/>
            <w:noProof/>
          </w:rPr>
          <w:t>6.</w:t>
        </w:r>
        <w:r w:rsidR="00B12BD8">
          <w:rPr>
            <w:rFonts w:asciiTheme="minorHAnsi" w:eastAsiaTheme="minorEastAsia" w:hAnsiTheme="minorHAnsi"/>
            <w:caps w:val="0"/>
            <w:noProof/>
            <w:sz w:val="22"/>
            <w:lang w:eastAsia="en-GB"/>
          </w:rPr>
          <w:tab/>
        </w:r>
        <w:r w:rsidR="00B12BD8" w:rsidRPr="00C26BA5">
          <w:rPr>
            <w:rStyle w:val="Hyperlink"/>
            <w:noProof/>
          </w:rPr>
          <w:t>Financials</w:t>
        </w:r>
        <w:r w:rsidR="00B12BD8">
          <w:rPr>
            <w:noProof/>
            <w:webHidden/>
          </w:rPr>
          <w:tab/>
        </w:r>
        <w:r w:rsidR="00B12BD8">
          <w:rPr>
            <w:noProof/>
            <w:webHidden/>
          </w:rPr>
          <w:fldChar w:fldCharType="begin"/>
        </w:r>
        <w:r w:rsidR="00B12BD8">
          <w:rPr>
            <w:noProof/>
            <w:webHidden/>
          </w:rPr>
          <w:instrText xml:space="preserve"> PAGEREF _Toc14085206 \h </w:instrText>
        </w:r>
        <w:r w:rsidR="00B12BD8">
          <w:rPr>
            <w:noProof/>
            <w:webHidden/>
          </w:rPr>
        </w:r>
        <w:r w:rsidR="00B12BD8">
          <w:rPr>
            <w:noProof/>
            <w:webHidden/>
          </w:rPr>
          <w:fldChar w:fldCharType="separate"/>
        </w:r>
        <w:r w:rsidR="00B12BD8">
          <w:rPr>
            <w:noProof/>
            <w:webHidden/>
          </w:rPr>
          <w:t>10</w:t>
        </w:r>
        <w:r w:rsidR="00B12BD8">
          <w:rPr>
            <w:noProof/>
            <w:webHidden/>
          </w:rPr>
          <w:fldChar w:fldCharType="end"/>
        </w:r>
      </w:hyperlink>
    </w:p>
    <w:p w14:paraId="27B66F0B" w14:textId="77777777" w:rsidR="00B12BD8" w:rsidRDefault="00426A22">
      <w:pPr>
        <w:pStyle w:val="TOC1"/>
        <w:tabs>
          <w:tab w:val="left" w:pos="403"/>
          <w:tab w:val="right" w:leader="dot" w:pos="9628"/>
        </w:tabs>
        <w:rPr>
          <w:rFonts w:asciiTheme="minorHAnsi" w:eastAsiaTheme="minorEastAsia" w:hAnsiTheme="minorHAnsi"/>
          <w:caps w:val="0"/>
          <w:noProof/>
          <w:sz w:val="22"/>
          <w:lang w:eastAsia="en-GB"/>
        </w:rPr>
      </w:pPr>
      <w:hyperlink w:anchor="_Toc14085207" w:history="1">
        <w:r w:rsidR="00B12BD8" w:rsidRPr="00C26BA5">
          <w:rPr>
            <w:rStyle w:val="Hyperlink"/>
            <w:noProof/>
          </w:rPr>
          <w:t>7.</w:t>
        </w:r>
        <w:r w:rsidR="00B12BD8">
          <w:rPr>
            <w:rFonts w:asciiTheme="minorHAnsi" w:eastAsiaTheme="minorEastAsia" w:hAnsiTheme="minorHAnsi"/>
            <w:caps w:val="0"/>
            <w:noProof/>
            <w:sz w:val="22"/>
            <w:lang w:eastAsia="en-GB"/>
          </w:rPr>
          <w:tab/>
        </w:r>
        <w:r w:rsidR="00B12BD8" w:rsidRPr="00C26BA5">
          <w:rPr>
            <w:rStyle w:val="Hyperlink"/>
            <w:noProof/>
          </w:rPr>
          <w:t>CONCLUSION</w:t>
        </w:r>
        <w:r w:rsidR="00B12BD8">
          <w:rPr>
            <w:noProof/>
            <w:webHidden/>
          </w:rPr>
          <w:tab/>
        </w:r>
        <w:r w:rsidR="00B12BD8">
          <w:rPr>
            <w:noProof/>
            <w:webHidden/>
          </w:rPr>
          <w:fldChar w:fldCharType="begin"/>
        </w:r>
        <w:r w:rsidR="00B12BD8">
          <w:rPr>
            <w:noProof/>
            <w:webHidden/>
          </w:rPr>
          <w:instrText xml:space="preserve"> PAGEREF _Toc14085207 \h </w:instrText>
        </w:r>
        <w:r w:rsidR="00B12BD8">
          <w:rPr>
            <w:noProof/>
            <w:webHidden/>
          </w:rPr>
        </w:r>
        <w:r w:rsidR="00B12BD8">
          <w:rPr>
            <w:noProof/>
            <w:webHidden/>
          </w:rPr>
          <w:fldChar w:fldCharType="separate"/>
        </w:r>
        <w:r w:rsidR="00B12BD8">
          <w:rPr>
            <w:noProof/>
            <w:webHidden/>
          </w:rPr>
          <w:t>11</w:t>
        </w:r>
        <w:r w:rsidR="00B12BD8">
          <w:rPr>
            <w:noProof/>
            <w:webHidden/>
          </w:rPr>
          <w:fldChar w:fldCharType="end"/>
        </w:r>
      </w:hyperlink>
    </w:p>
    <w:p w14:paraId="1CCEC3ED" w14:textId="77777777" w:rsidR="00F05A4B" w:rsidRDefault="0003635B">
      <w:pPr>
        <w:pStyle w:val="TOC1"/>
        <w:tabs>
          <w:tab w:val="right" w:leader="dot" w:pos="9628"/>
        </w:tabs>
      </w:pPr>
      <w:r>
        <w:rPr>
          <w:caps w:val="0"/>
        </w:rPr>
        <w:fldChar w:fldCharType="end"/>
      </w:r>
      <w:r>
        <w:br w:type="page"/>
      </w:r>
    </w:p>
    <w:p w14:paraId="433F2726" w14:textId="77777777" w:rsidR="00C13461" w:rsidRDefault="00C13461" w:rsidP="00C13461">
      <w:pPr>
        <w:pStyle w:val="Heading1"/>
        <w:numPr>
          <w:ilvl w:val="0"/>
          <w:numId w:val="3"/>
        </w:numPr>
      </w:pPr>
      <w:bookmarkStart w:id="1" w:name="_Toc14085199"/>
      <w:r>
        <w:lastRenderedPageBreak/>
        <w:t>Executive summary</w:t>
      </w:r>
      <w:bookmarkEnd w:id="1"/>
    </w:p>
    <w:p w14:paraId="68CDC4A7" w14:textId="145B2A8D" w:rsidR="00C13461" w:rsidRDefault="00C13461" w:rsidP="00C13461">
      <w:r>
        <w:t xml:space="preserve">The acquisition of GHL Bank </w:t>
      </w:r>
      <w:r w:rsidR="002E342E">
        <w:t xml:space="preserve">Limited (“GHL Bank”) </w:t>
      </w:r>
      <w:r>
        <w:t xml:space="preserve">and subsequent merging of First </w:t>
      </w:r>
      <w:r w:rsidR="00FB2F1D">
        <w:t>National</w:t>
      </w:r>
      <w:r>
        <w:t xml:space="preserve"> Bank Ghana (“FNB Ghana”) and GHL Bank will effectively accelerate </w:t>
      </w:r>
      <w:r w:rsidR="002E342E">
        <w:t>and complement the</w:t>
      </w:r>
      <w:r>
        <w:t xml:space="preserve"> retail portion of FNB Ghana’s strategy, effectively adding a modest affluent client base and mortgage loan book.</w:t>
      </w:r>
    </w:p>
    <w:p w14:paraId="38FE316E" w14:textId="77777777" w:rsidR="00C13461" w:rsidRDefault="00C13461" w:rsidP="00C13461"/>
    <w:p w14:paraId="0ABB1EFB" w14:textId="77777777" w:rsidR="007A63BB" w:rsidRDefault="00C13461" w:rsidP="00C13461">
      <w:r>
        <w:t xml:space="preserve">On completion of the proposed acquisition, </w:t>
      </w:r>
      <w:r w:rsidR="007A63BB">
        <w:t>FirstRand Limited (“FirstRand”)</w:t>
      </w:r>
      <w:r>
        <w:t xml:space="preserve"> intends for the operations of GHL Bank and FNB Ghana to co</w:t>
      </w:r>
      <w:r w:rsidRPr="007A63BB">
        <w:t>ntinue on a “business as usual basis”</w:t>
      </w:r>
      <w:r>
        <w:t xml:space="preserve"> in the short term, with the operations of GHL Bank to be merged as an operating business unit FNB Ghana, and </w:t>
      </w:r>
      <w:r w:rsidR="00B92CAB">
        <w:t xml:space="preserve">the </w:t>
      </w:r>
      <w:r>
        <w:t>banking licence</w:t>
      </w:r>
      <w:r w:rsidR="00B92CAB">
        <w:t xml:space="preserve"> of GHL bank</w:t>
      </w:r>
      <w:r>
        <w:t xml:space="preserve"> to be surrendered to </w:t>
      </w:r>
      <w:r w:rsidR="002E342E">
        <w:t>Bank of Ghana (“</w:t>
      </w:r>
      <w:r>
        <w:t>BoG</w:t>
      </w:r>
      <w:r w:rsidR="002E342E">
        <w:t>”)</w:t>
      </w:r>
      <w:r>
        <w:t xml:space="preserve">. </w:t>
      </w:r>
    </w:p>
    <w:p w14:paraId="47A04ABD" w14:textId="77777777" w:rsidR="007A63BB" w:rsidRDefault="007A63BB" w:rsidP="00C13461"/>
    <w:p w14:paraId="6B602068" w14:textId="77777777" w:rsidR="00C13461" w:rsidRDefault="00C13461" w:rsidP="00C13461">
      <w:r>
        <w:t xml:space="preserve">Given the recent capital injection by </w:t>
      </w:r>
      <w:r w:rsidR="007A63BB">
        <w:t>FirstRand</w:t>
      </w:r>
      <w:r>
        <w:t xml:space="preserve"> to FNB Ghana, the combined business will still meet the minimum capital required by BoG of GHS400 million</w:t>
      </w:r>
      <w:r w:rsidR="00B92CAB">
        <w:t xml:space="preserve">. </w:t>
      </w:r>
      <w:r>
        <w:t>In the medium to long term, it is envisaged that significant synergies will be realised through the combination and rationalisation of the two businesses.</w:t>
      </w:r>
    </w:p>
    <w:p w14:paraId="61C81743" w14:textId="77777777" w:rsidR="00C13461" w:rsidRDefault="00C13461" w:rsidP="00C13461"/>
    <w:p w14:paraId="54314B51" w14:textId="77777777" w:rsidR="00C13461" w:rsidRDefault="007A63BB" w:rsidP="00C13461">
      <w:r>
        <w:rPr>
          <w:lang w:val="en-ZA"/>
        </w:rPr>
        <w:t xml:space="preserve">FirstRand </w:t>
      </w:r>
      <w:r w:rsidR="00C13461">
        <w:rPr>
          <w:lang w:val="en-ZA"/>
        </w:rPr>
        <w:t>has the capacity and willingness to deploy capital into growing the asset book of the combined business and towards diversifying the product and service offering in the future. As a principle, the group capitalises all entities on a standalone basis and will always ensure that its subsidiaries are adequately capitalised.</w:t>
      </w:r>
    </w:p>
    <w:p w14:paraId="02234470" w14:textId="77777777" w:rsidR="00C13461" w:rsidRDefault="00C13461" w:rsidP="00C13461"/>
    <w:p w14:paraId="1E052048" w14:textId="77777777" w:rsidR="00C13461" w:rsidRDefault="00C13461" w:rsidP="00C13461">
      <w:r>
        <w:t xml:space="preserve">It is important to note that the interaction with GHL Bank thus far has been primarily focused on the fulfilment of the due diligence requirements. It is the desire of </w:t>
      </w:r>
      <w:r w:rsidR="007A63BB">
        <w:t xml:space="preserve">FirstRand </w:t>
      </w:r>
      <w:r>
        <w:t xml:space="preserve">that FNB Ghana and GHL Bank hold a strategy session, post the implementation of the intended transaction, with all management teams to draft a more detailed revised strategy for the combined businesses.  </w:t>
      </w:r>
    </w:p>
    <w:p w14:paraId="45B42859" w14:textId="77777777" w:rsidR="00CB6952" w:rsidRDefault="00A31A5D" w:rsidP="00CB6952">
      <w:pPr>
        <w:pStyle w:val="Heading1"/>
        <w:numPr>
          <w:ilvl w:val="0"/>
          <w:numId w:val="3"/>
        </w:numPr>
      </w:pPr>
      <w:bookmarkStart w:id="2" w:name="_Toc14085200"/>
      <w:r>
        <w:t xml:space="preserve">Background </w:t>
      </w:r>
      <w:r w:rsidR="00CB6952">
        <w:t>to parties</w:t>
      </w:r>
      <w:bookmarkEnd w:id="2"/>
    </w:p>
    <w:p w14:paraId="2B7CC609" w14:textId="77777777" w:rsidR="00F05A4B" w:rsidRDefault="00CB6952" w:rsidP="00CB6952">
      <w:pPr>
        <w:pStyle w:val="Heading1"/>
        <w:numPr>
          <w:ilvl w:val="1"/>
          <w:numId w:val="3"/>
        </w:numPr>
      </w:pPr>
      <w:r>
        <w:t xml:space="preserve">  </w:t>
      </w:r>
      <w:bookmarkStart w:id="3" w:name="_Toc14085201"/>
      <w:r w:rsidR="00A31A5D">
        <w:t>the firstRand group</w:t>
      </w:r>
      <w:bookmarkEnd w:id="3"/>
    </w:p>
    <w:p w14:paraId="6CC609BB" w14:textId="77777777" w:rsidR="00F05A4B" w:rsidRDefault="00C13461">
      <w:r>
        <w:rPr>
          <w:kern w:val="20"/>
        </w:rPr>
        <w:t>FNB Ghana</w:t>
      </w:r>
      <w:r w:rsidR="0003635B">
        <w:rPr>
          <w:kern w:val="20"/>
        </w:rPr>
        <w:t xml:space="preserve"> is a wholly-owned subsidiary of FirstRand </w:t>
      </w:r>
      <w:r w:rsidR="00DD5DB3">
        <w:rPr>
          <w:kern w:val="20"/>
        </w:rPr>
        <w:t xml:space="preserve">Emerging Markets Africa Proprietary </w:t>
      </w:r>
      <w:r w:rsidR="0003635B">
        <w:rPr>
          <w:kern w:val="20"/>
        </w:rPr>
        <w:t>Limited</w:t>
      </w:r>
      <w:r w:rsidR="00DD5DB3">
        <w:rPr>
          <w:kern w:val="20"/>
        </w:rPr>
        <w:t xml:space="preserve"> (“FREMA”)</w:t>
      </w:r>
      <w:r w:rsidR="0003635B">
        <w:rPr>
          <w:kern w:val="20"/>
        </w:rPr>
        <w:t xml:space="preserve">, which in turn is a wholly-owned subsidiary of FirstRand Limited. Listed on the Johannesburg Stock Exchange (JSE), </w:t>
      </w:r>
      <w:r w:rsidR="007A63BB">
        <w:rPr>
          <w:kern w:val="20"/>
        </w:rPr>
        <w:t>FirstRand Limited</w:t>
      </w:r>
      <w:r w:rsidR="0003635B">
        <w:rPr>
          <w:kern w:val="20"/>
        </w:rPr>
        <w:t xml:space="preserve"> is the largest financial institution in Africa by market </w:t>
      </w:r>
      <w:r w:rsidR="0003635B" w:rsidRPr="00A77AE7">
        <w:rPr>
          <w:kern w:val="20"/>
        </w:rPr>
        <w:t xml:space="preserve">capitalisation </w:t>
      </w:r>
      <w:r w:rsidR="004E6CBF" w:rsidRPr="00A77AE7">
        <w:rPr>
          <w:kern w:val="20"/>
        </w:rPr>
        <w:t>ZAR3</w:t>
      </w:r>
      <w:r w:rsidR="00A77AE7" w:rsidRPr="00A77AE7">
        <w:rPr>
          <w:kern w:val="20"/>
        </w:rPr>
        <w:t>63</w:t>
      </w:r>
      <w:r w:rsidR="004E6CBF" w:rsidRPr="00A77AE7">
        <w:rPr>
          <w:kern w:val="20"/>
        </w:rPr>
        <w:t xml:space="preserve"> billion</w:t>
      </w:r>
      <w:r w:rsidR="0003635B" w:rsidRPr="00A77AE7">
        <w:rPr>
          <w:kern w:val="20"/>
        </w:rPr>
        <w:t xml:space="preserve"> (</w:t>
      </w:r>
      <w:r w:rsidR="00A77AE7" w:rsidRPr="00A77AE7">
        <w:rPr>
          <w:kern w:val="20"/>
        </w:rPr>
        <w:t xml:space="preserve">as </w:t>
      </w:r>
      <w:r w:rsidR="0003635B" w:rsidRPr="00A77AE7">
        <w:rPr>
          <w:kern w:val="20"/>
        </w:rPr>
        <w:t xml:space="preserve">at </w:t>
      </w:r>
      <w:r w:rsidR="00A77AE7" w:rsidRPr="00A77AE7">
        <w:rPr>
          <w:kern w:val="20"/>
        </w:rPr>
        <w:t>9 July 2019</w:t>
      </w:r>
      <w:r w:rsidR="0003635B" w:rsidRPr="00A77AE7">
        <w:rPr>
          <w:kern w:val="20"/>
        </w:rPr>
        <w:t>). In</w:t>
      </w:r>
      <w:r w:rsidR="0003635B">
        <w:rPr>
          <w:kern w:val="20"/>
        </w:rPr>
        <w:t xml:space="preserve"> addition to South Africa, the FirstRand </w:t>
      </w:r>
      <w:r w:rsidR="00B92CAB">
        <w:rPr>
          <w:kern w:val="20"/>
        </w:rPr>
        <w:t xml:space="preserve">group </w:t>
      </w:r>
      <w:r w:rsidR="0003635B">
        <w:rPr>
          <w:kern w:val="20"/>
        </w:rPr>
        <w:t xml:space="preserve">operates in the United Kingdom, </w:t>
      </w:r>
      <w:r w:rsidR="00B276E8">
        <w:rPr>
          <w:kern w:val="20"/>
        </w:rPr>
        <w:t xml:space="preserve">Guernsey, </w:t>
      </w:r>
      <w:r w:rsidR="0003635B">
        <w:rPr>
          <w:kern w:val="20"/>
        </w:rPr>
        <w:t>nine countries on the broader African continent and India</w:t>
      </w:r>
      <w:r w:rsidR="0003635B">
        <w:t>.</w:t>
      </w:r>
      <w:r w:rsidR="00A31A5D">
        <w:t xml:space="preserve"> FirstRand Bank Limited, the Group’s 100% held primary cross-border banking entity, also has representative offices in Shanghai, China and Dubai, United Arab Emirates. An abridged view of the FirstRand corporate structure is noted in Figure 1.</w:t>
      </w:r>
    </w:p>
    <w:p w14:paraId="04702933" w14:textId="77777777" w:rsidR="0003635B" w:rsidRDefault="0003635B" w:rsidP="0003635B">
      <w:pPr>
        <w:rPr>
          <w:b/>
        </w:rPr>
      </w:pPr>
    </w:p>
    <w:p w14:paraId="5DE92A1F" w14:textId="77777777" w:rsidR="0003635B" w:rsidRDefault="0003635B" w:rsidP="0003635B">
      <w:r w:rsidRPr="00CE71FE">
        <w:rPr>
          <w:b/>
        </w:rPr>
        <w:lastRenderedPageBreak/>
        <w:t>Figure 1</w:t>
      </w:r>
      <w:r>
        <w:t xml:space="preserve"> – Abridged FirstRand corporate structure</w:t>
      </w:r>
      <w:r w:rsidR="00861263">
        <w:rPr>
          <w:noProof/>
          <w:lang w:val="en-US"/>
        </w:rPr>
        <w:drawing>
          <wp:anchor distT="0" distB="0" distL="114300" distR="114300" simplePos="0" relativeHeight="251659264" behindDoc="0" locked="0" layoutInCell="1" allowOverlap="1" wp14:anchorId="238A5B62" wp14:editId="0DE08A48">
            <wp:simplePos x="0" y="0"/>
            <wp:positionH relativeFrom="margin">
              <wp:align>right</wp:align>
            </wp:positionH>
            <wp:positionV relativeFrom="margin">
              <wp:posOffset>245059</wp:posOffset>
            </wp:positionV>
            <wp:extent cx="6120130" cy="4231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31640"/>
                    </a:xfrm>
                    <a:prstGeom prst="rect">
                      <a:avLst/>
                    </a:prstGeom>
                  </pic:spPr>
                </pic:pic>
              </a:graphicData>
            </a:graphic>
            <wp14:sizeRelH relativeFrom="page">
              <wp14:pctWidth>0</wp14:pctWidth>
            </wp14:sizeRelH>
            <wp14:sizeRelV relativeFrom="page">
              <wp14:pctHeight>0</wp14:pctHeight>
            </wp14:sizeRelV>
          </wp:anchor>
        </w:drawing>
      </w:r>
    </w:p>
    <w:p w14:paraId="5501C1A0" w14:textId="77777777" w:rsidR="00F05A4B" w:rsidRDefault="00F05A4B"/>
    <w:p w14:paraId="3F6DF336" w14:textId="77777777" w:rsidR="0003635B" w:rsidRDefault="0003635B"/>
    <w:p w14:paraId="78184185" w14:textId="77777777" w:rsidR="0003635B" w:rsidRPr="00086119" w:rsidRDefault="0003635B" w:rsidP="0003635B">
      <w:r w:rsidRPr="00850D31">
        <w:t>FirstRand</w:t>
      </w:r>
      <w:r w:rsidR="00DD5DB3" w:rsidRPr="00850D31">
        <w:t xml:space="preserve"> </w:t>
      </w:r>
      <w:r w:rsidR="00B276E8">
        <w:t>g</w:t>
      </w:r>
      <w:r w:rsidR="007A63BB">
        <w:t>roup</w:t>
      </w:r>
      <w:r w:rsidR="00B92CAB">
        <w:t xml:space="preserve"> </w:t>
      </w:r>
      <w:r w:rsidR="00DD5DB3" w:rsidRPr="00850D31">
        <w:t xml:space="preserve">subsidiary </w:t>
      </w:r>
      <w:r w:rsidR="00C13461">
        <w:t xml:space="preserve">FNB </w:t>
      </w:r>
      <w:r w:rsidR="006F5BDD" w:rsidRPr="00850D31">
        <w:t>Ghana commenced</w:t>
      </w:r>
      <w:r w:rsidR="005247D8" w:rsidRPr="00850D31">
        <w:t xml:space="preserve"> operations in October 2015 and </w:t>
      </w:r>
      <w:r w:rsidR="00DD5DB3" w:rsidRPr="00850D31">
        <w:t xml:space="preserve">operates as a fully licensed bank under the supervision of the </w:t>
      </w:r>
      <w:r w:rsidR="00D60EA9">
        <w:t>BoG</w:t>
      </w:r>
      <w:r w:rsidRPr="00850D31">
        <w:t>.</w:t>
      </w:r>
      <w:r w:rsidRPr="004E6CBF">
        <w:t xml:space="preserve">  </w:t>
      </w:r>
    </w:p>
    <w:p w14:paraId="55968287" w14:textId="77777777" w:rsidR="006F5BDD" w:rsidRPr="001C25E0" w:rsidRDefault="006F5BDD" w:rsidP="0003635B"/>
    <w:p w14:paraId="0A1A4E96" w14:textId="77777777" w:rsidR="006F5BDD" w:rsidRDefault="00C13461" w:rsidP="006F5BDD">
      <w:pPr>
        <w:rPr>
          <w:szCs w:val="20"/>
        </w:rPr>
      </w:pPr>
      <w:r>
        <w:rPr>
          <w:szCs w:val="20"/>
        </w:rPr>
        <w:t>FNB</w:t>
      </w:r>
      <w:r w:rsidR="004E6CBF" w:rsidRPr="00850D31">
        <w:rPr>
          <w:szCs w:val="20"/>
        </w:rPr>
        <w:t xml:space="preserve"> </w:t>
      </w:r>
      <w:r w:rsidR="006F5BDD" w:rsidRPr="00850D31">
        <w:rPr>
          <w:szCs w:val="20"/>
        </w:rPr>
        <w:t xml:space="preserve">Ghana seeks to bank the </w:t>
      </w:r>
      <w:r w:rsidR="004E6CBF" w:rsidRPr="00850D31">
        <w:rPr>
          <w:szCs w:val="20"/>
        </w:rPr>
        <w:t xml:space="preserve">commercial and corporate </w:t>
      </w:r>
      <w:r w:rsidR="006F5BDD" w:rsidRPr="00850D31">
        <w:rPr>
          <w:szCs w:val="20"/>
        </w:rPr>
        <w:t xml:space="preserve">client ecosystem, effectively leveraging key </w:t>
      </w:r>
      <w:r w:rsidR="004E6CBF" w:rsidRPr="00850D31">
        <w:rPr>
          <w:szCs w:val="20"/>
        </w:rPr>
        <w:t xml:space="preserve">commercial and </w:t>
      </w:r>
      <w:r w:rsidR="006F5BDD" w:rsidRPr="00850D31">
        <w:rPr>
          <w:szCs w:val="20"/>
        </w:rPr>
        <w:t>corporate client relationships by referencing their commercial value chain</w:t>
      </w:r>
      <w:r w:rsidR="004E6CBF" w:rsidRPr="00850D31">
        <w:rPr>
          <w:szCs w:val="20"/>
        </w:rPr>
        <w:t xml:space="preserve"> and employees</w:t>
      </w:r>
      <w:r w:rsidR="006F5BDD" w:rsidRPr="00850D31">
        <w:rPr>
          <w:szCs w:val="20"/>
        </w:rPr>
        <w:t xml:space="preserve"> to penetrate these client segments </w:t>
      </w:r>
      <w:r w:rsidR="004E6CBF" w:rsidRPr="00850D31">
        <w:rPr>
          <w:szCs w:val="20"/>
        </w:rPr>
        <w:t xml:space="preserve">by </w:t>
      </w:r>
      <w:r w:rsidR="006F5BDD" w:rsidRPr="00850D31">
        <w:rPr>
          <w:szCs w:val="20"/>
        </w:rPr>
        <w:t>delivering a market differentiating service offering</w:t>
      </w:r>
      <w:r w:rsidR="006F5BDD" w:rsidRPr="004E6CBF">
        <w:rPr>
          <w:szCs w:val="20"/>
        </w:rPr>
        <w:t xml:space="preserve">. </w:t>
      </w:r>
      <w:r w:rsidR="006F5BDD" w:rsidRPr="00850D31">
        <w:rPr>
          <w:szCs w:val="20"/>
        </w:rPr>
        <w:t>The business case is predicated on a</w:t>
      </w:r>
      <w:r w:rsidR="004E6CBF" w:rsidRPr="00850D31">
        <w:rPr>
          <w:szCs w:val="20"/>
        </w:rPr>
        <w:t xml:space="preserve"> digitally</w:t>
      </w:r>
      <w:r w:rsidR="00B92CAB">
        <w:rPr>
          <w:szCs w:val="20"/>
        </w:rPr>
        <w:t>-</w:t>
      </w:r>
      <w:r w:rsidR="004E6CBF" w:rsidRPr="00850D31">
        <w:rPr>
          <w:szCs w:val="20"/>
        </w:rPr>
        <w:t>enabled</w:t>
      </w:r>
      <w:r w:rsidR="006F5BDD" w:rsidRPr="00850D31">
        <w:rPr>
          <w:szCs w:val="20"/>
        </w:rPr>
        <w:t xml:space="preserve"> </w:t>
      </w:r>
      <w:r w:rsidR="00D60EA9">
        <w:rPr>
          <w:szCs w:val="20"/>
        </w:rPr>
        <w:t>c</w:t>
      </w:r>
      <w:r w:rsidR="001C25E0">
        <w:rPr>
          <w:szCs w:val="20"/>
        </w:rPr>
        <w:t xml:space="preserve">ommercial, </w:t>
      </w:r>
      <w:r w:rsidR="006F5BDD" w:rsidRPr="00850D31">
        <w:rPr>
          <w:szCs w:val="20"/>
        </w:rPr>
        <w:t>corporate and investment banking led strategy, complemented by</w:t>
      </w:r>
      <w:r w:rsidR="004E6CBF" w:rsidRPr="00850D31">
        <w:rPr>
          <w:szCs w:val="20"/>
        </w:rPr>
        <w:t xml:space="preserve"> the</w:t>
      </w:r>
      <w:r w:rsidR="006F5BDD" w:rsidRPr="00850D31">
        <w:rPr>
          <w:szCs w:val="20"/>
        </w:rPr>
        <w:t xml:space="preserve"> </w:t>
      </w:r>
      <w:r w:rsidR="004E6CBF" w:rsidRPr="00850D31">
        <w:rPr>
          <w:szCs w:val="20"/>
        </w:rPr>
        <w:t xml:space="preserve">upper </w:t>
      </w:r>
      <w:r w:rsidR="006F5BDD" w:rsidRPr="00850D31">
        <w:rPr>
          <w:szCs w:val="20"/>
        </w:rPr>
        <w:t>retail</w:t>
      </w:r>
      <w:r w:rsidR="004E6CBF" w:rsidRPr="00850D31">
        <w:rPr>
          <w:szCs w:val="20"/>
        </w:rPr>
        <w:t xml:space="preserve"> (affluent) market segment</w:t>
      </w:r>
      <w:r w:rsidR="001C25E0">
        <w:rPr>
          <w:szCs w:val="20"/>
        </w:rPr>
        <w:t xml:space="preserve"> (“CCIB-r”)</w:t>
      </w:r>
      <w:r w:rsidR="001D493D">
        <w:rPr>
          <w:szCs w:val="20"/>
        </w:rPr>
        <w:t>.</w:t>
      </w:r>
    </w:p>
    <w:p w14:paraId="2E45864B" w14:textId="77777777" w:rsidR="001D493D" w:rsidRDefault="001D493D" w:rsidP="006F5BDD"/>
    <w:p w14:paraId="3C3DAEC2" w14:textId="77777777" w:rsidR="00DD5DB3" w:rsidRPr="00A77AE7" w:rsidRDefault="001D493D" w:rsidP="0003635B">
      <w:r w:rsidRPr="00A77AE7">
        <w:t xml:space="preserve">As at 31 December 2018, </w:t>
      </w:r>
      <w:r w:rsidR="00D60EA9">
        <w:t>FNB</w:t>
      </w:r>
      <w:r w:rsidRPr="00A77AE7">
        <w:t xml:space="preserve"> Ghana had a loan book of approximately </w:t>
      </w:r>
      <w:r w:rsidR="00A77AE7" w:rsidRPr="00A77AE7">
        <w:t xml:space="preserve">GHS85 million </w:t>
      </w:r>
      <w:r w:rsidRPr="00A77AE7">
        <w:t xml:space="preserve">and </w:t>
      </w:r>
      <w:r w:rsidR="00A77AE7" w:rsidRPr="00A77AE7">
        <w:t>total assets</w:t>
      </w:r>
      <w:r w:rsidRPr="00A77AE7">
        <w:t xml:space="preserve"> of approximately </w:t>
      </w:r>
      <w:r w:rsidR="00A77AE7" w:rsidRPr="00A77AE7">
        <w:t xml:space="preserve">GHS640 million </w:t>
      </w:r>
      <w:r w:rsidRPr="00A77AE7">
        <w:t>for the financial year ending on that date.</w:t>
      </w:r>
    </w:p>
    <w:p w14:paraId="25661535" w14:textId="77777777" w:rsidR="001D493D" w:rsidRDefault="001D493D" w:rsidP="0003635B"/>
    <w:p w14:paraId="584845BA" w14:textId="77777777" w:rsidR="0003635B" w:rsidRDefault="002F40E4" w:rsidP="0003635B">
      <w:r>
        <w:t xml:space="preserve">FirstRand </w:t>
      </w:r>
      <w:r w:rsidR="00B276E8">
        <w:t xml:space="preserve">group </w:t>
      </w:r>
      <w:r w:rsidR="0003635B">
        <w:t>is proud of its “owner-manager” culture and believes that this approach</w:t>
      </w:r>
      <w:r w:rsidR="0003635B" w:rsidRPr="00D4433F">
        <w:t xml:space="preserve"> </w:t>
      </w:r>
      <w:r w:rsidR="0003635B">
        <w:t xml:space="preserve">to human capital of empowering and holding staff accountable is a core part of its sustainable competitive advantage.  In line with this philosophy and to better distinguish the Group’s financial services offering in the minds of customers, the FirstRand </w:t>
      </w:r>
      <w:r w:rsidR="00B276E8">
        <w:t xml:space="preserve">group </w:t>
      </w:r>
      <w:r w:rsidR="0003635B">
        <w:t xml:space="preserve">operates under multiple customer-facing brands that can span legal entities.  </w:t>
      </w:r>
    </w:p>
    <w:p w14:paraId="67A7E89A" w14:textId="77777777" w:rsidR="002208B9" w:rsidRDefault="002208B9" w:rsidP="0003635B"/>
    <w:p w14:paraId="2F935BB3" w14:textId="77777777" w:rsidR="0003635B" w:rsidRDefault="002208B9" w:rsidP="0003635B">
      <w:r>
        <w:lastRenderedPageBreak/>
        <w:t>T</w:t>
      </w:r>
      <w:r w:rsidR="0003635B">
        <w:t xml:space="preserve">he </w:t>
      </w:r>
      <w:r w:rsidR="003C5AC5">
        <w:t xml:space="preserve">FirstRand </w:t>
      </w:r>
      <w:r w:rsidR="00B92CAB">
        <w:t>g</w:t>
      </w:r>
      <w:r w:rsidR="0003635B">
        <w:t>roup’s approach to branding is noted in Figure 2.</w:t>
      </w:r>
    </w:p>
    <w:p w14:paraId="4331B041" w14:textId="77777777" w:rsidR="0003635B" w:rsidRDefault="0003635B" w:rsidP="0003635B"/>
    <w:p w14:paraId="6443795D" w14:textId="77777777" w:rsidR="0003635B" w:rsidRDefault="0003635B" w:rsidP="0003635B">
      <w:r w:rsidRPr="00CE71FE">
        <w:rPr>
          <w:b/>
        </w:rPr>
        <w:t>Figure 2</w:t>
      </w:r>
      <w:r>
        <w:t xml:space="preserve"> – </w:t>
      </w:r>
      <w:r w:rsidR="002F40E4">
        <w:t>FirstRand Group</w:t>
      </w:r>
      <w:r>
        <w:t>’s operating brands that span entities and jurisdictions</w:t>
      </w:r>
    </w:p>
    <w:p w14:paraId="0B93D721" w14:textId="77777777" w:rsidR="0003635B" w:rsidRDefault="00C13461" w:rsidP="0003635B">
      <w:r w:rsidRPr="004E6CBF">
        <w:rPr>
          <w:noProof/>
          <w:lang w:val="en-US"/>
        </w:rPr>
        <w:drawing>
          <wp:inline distT="0" distB="0" distL="0" distR="0" wp14:anchorId="7A25B129" wp14:editId="130A7D44">
            <wp:extent cx="6120130"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 tre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473960"/>
                    </a:xfrm>
                    <a:prstGeom prst="rect">
                      <a:avLst/>
                    </a:prstGeom>
                  </pic:spPr>
                </pic:pic>
              </a:graphicData>
            </a:graphic>
          </wp:inline>
        </w:drawing>
      </w:r>
    </w:p>
    <w:p w14:paraId="41B0C782" w14:textId="77777777" w:rsidR="00CB6952" w:rsidRDefault="00CB6952" w:rsidP="00CB6952">
      <w:pPr>
        <w:pStyle w:val="Heading1"/>
        <w:numPr>
          <w:ilvl w:val="1"/>
          <w:numId w:val="3"/>
        </w:numPr>
      </w:pPr>
      <w:bookmarkStart w:id="4" w:name="_Toc13482365"/>
      <w:bookmarkStart w:id="5" w:name="_Toc13482366"/>
      <w:bookmarkEnd w:id="4"/>
      <w:bookmarkEnd w:id="5"/>
      <w:r>
        <w:t xml:space="preserve">  </w:t>
      </w:r>
      <w:bookmarkStart w:id="6" w:name="_Toc14085202"/>
      <w:r>
        <w:t>GHL Bank</w:t>
      </w:r>
      <w:bookmarkEnd w:id="6"/>
      <w:r>
        <w:t xml:space="preserve"> </w:t>
      </w:r>
    </w:p>
    <w:p w14:paraId="35E29ABF" w14:textId="77777777" w:rsidR="00B33860" w:rsidRDefault="00B33860" w:rsidP="00B33860">
      <w:bookmarkStart w:id="7" w:name="_Hlk2264905"/>
      <w:r w:rsidRPr="00B33860">
        <w:t xml:space="preserve">GHL Bank was established in 2006 as a home loans company and converted to a universal bank after obtaining a licence in 2017. The bank has a staff complement of </w:t>
      </w:r>
      <w:r w:rsidR="007A63BB" w:rsidRPr="007A63BB">
        <w:t xml:space="preserve">308 </w:t>
      </w:r>
      <w:r w:rsidRPr="007A63BB">
        <w:t>(1</w:t>
      </w:r>
      <w:r w:rsidR="007A63BB" w:rsidRPr="007A63BB">
        <w:t>61</w:t>
      </w:r>
      <w:r w:rsidRPr="00B33860">
        <w:t xml:space="preserve"> of whom are permanent) with </w:t>
      </w:r>
      <w:r w:rsidR="007A63BB">
        <w:t>5</w:t>
      </w:r>
      <w:r w:rsidRPr="00B33860">
        <w:t xml:space="preserve"> ATMs and 4 branches in Ghana. The home loans business is well established</w:t>
      </w:r>
      <w:r w:rsidR="00B92CAB">
        <w:t>,</w:t>
      </w:r>
      <w:r w:rsidRPr="00B33860">
        <w:t xml:space="preserve"> although the banking business is still sub-scale as capabilities are being built up, which is a key focus.</w:t>
      </w:r>
      <w:r>
        <w:t xml:space="preserve"> </w:t>
      </w:r>
      <w:r w:rsidRPr="00B33860">
        <w:t>At the core of GHL Bank’s banking strategy is its efficient business model, which has proven profitable and resilient to currency volatility.</w:t>
      </w:r>
      <w:r>
        <w:t xml:space="preserve"> </w:t>
      </w:r>
    </w:p>
    <w:p w14:paraId="51576707" w14:textId="77777777" w:rsidR="00B33860" w:rsidRDefault="00B33860" w:rsidP="00CB6952"/>
    <w:p w14:paraId="211868FD" w14:textId="545C8774" w:rsidR="00CB6952" w:rsidRDefault="00CB6952" w:rsidP="00CB6952">
      <w:r>
        <w:t>Prior to its issuance of a commercial banking licen</w:t>
      </w:r>
      <w:r w:rsidR="00B92CAB">
        <w:t>c</w:t>
      </w:r>
      <w:r>
        <w:t xml:space="preserve">e in December 2017, GHL Bank was a mortgage finance institution operating under </w:t>
      </w:r>
      <w:r w:rsidR="00D60EA9">
        <w:t>BoG</w:t>
      </w:r>
      <w:r>
        <w:t xml:space="preserve"> supervision as a non-bank financial institution. With </w:t>
      </w:r>
      <w:r w:rsidR="00D60EA9">
        <w:t xml:space="preserve">more than </w:t>
      </w:r>
      <w:r>
        <w:t xml:space="preserve">10 years experience in the mortgage industry, GHL Bank has grown to become </w:t>
      </w:r>
      <w:r w:rsidR="00B33860">
        <w:t xml:space="preserve">one of the </w:t>
      </w:r>
      <w:r>
        <w:t xml:space="preserve">leading residential mortgage finance </w:t>
      </w:r>
      <w:r w:rsidR="00687541">
        <w:t>providers</w:t>
      </w:r>
      <w:r>
        <w:t xml:space="preserve"> in Ghana, with an estimated market share of over 50%.</w:t>
      </w:r>
    </w:p>
    <w:p w14:paraId="40806589" w14:textId="77777777" w:rsidR="00CB6952" w:rsidRDefault="00CB6952" w:rsidP="00CB6952"/>
    <w:p w14:paraId="18C41861" w14:textId="77777777" w:rsidR="00CB6952" w:rsidRDefault="00CB6952" w:rsidP="00CB6952">
      <w:r>
        <w:t>GHL Bank has a primary focus on the Ghanaian residential home buyer offering mortgages</w:t>
      </w:r>
      <w:r w:rsidR="00B33860">
        <w:t>, including mortages</w:t>
      </w:r>
      <w:r>
        <w:t xml:space="preserve"> for first time buyers, buy to let, equity release, refinanc</w:t>
      </w:r>
      <w:r w:rsidR="007A63BB">
        <w:t xml:space="preserve">e and </w:t>
      </w:r>
      <w:r>
        <w:t>home completion products</w:t>
      </w:r>
      <w:r w:rsidR="00086119">
        <w:t>, in addition to offering mortgages on Ghanaian properties to Ghanaians living abroad</w:t>
      </w:r>
      <w:r>
        <w:t xml:space="preserve">. </w:t>
      </w:r>
    </w:p>
    <w:p w14:paraId="35E81263" w14:textId="77777777" w:rsidR="007A63BB" w:rsidRDefault="007A63BB" w:rsidP="00CB6952"/>
    <w:p w14:paraId="23162EF1" w14:textId="77777777" w:rsidR="007A63BB" w:rsidRDefault="007A63BB" w:rsidP="007A63BB">
      <w:r w:rsidRPr="00A77AE7">
        <w:t xml:space="preserve">As at 31 December 2018, GHL Bank had a loan book of approximately </w:t>
      </w:r>
      <w:r w:rsidR="00A77AE7" w:rsidRPr="00A77AE7">
        <w:t>GHS562 million</w:t>
      </w:r>
      <w:r w:rsidR="00A77AE7">
        <w:t>, total assets of GHS689 million,</w:t>
      </w:r>
      <w:r w:rsidRPr="00A77AE7">
        <w:t xml:space="preserve"> and profit before tax of approximately </w:t>
      </w:r>
      <w:r w:rsidR="00A77AE7" w:rsidRPr="00A77AE7">
        <w:t xml:space="preserve">GHS5 million </w:t>
      </w:r>
      <w:r w:rsidRPr="00A77AE7">
        <w:t>for financial year ending on that date.</w:t>
      </w:r>
      <w:r w:rsidRPr="00BB035E">
        <w:t xml:space="preserve">  </w:t>
      </w:r>
    </w:p>
    <w:bookmarkEnd w:id="7"/>
    <w:p w14:paraId="25139843" w14:textId="77777777" w:rsidR="00CB6952" w:rsidRDefault="00CB6952" w:rsidP="00CB6952"/>
    <w:p w14:paraId="7BC50B77" w14:textId="77777777" w:rsidR="007A63BB" w:rsidRDefault="007A63BB" w:rsidP="007A63BB">
      <w:r>
        <w:t>GHL Bank’s journey thus far is illustrated in Figure 3.</w:t>
      </w:r>
    </w:p>
    <w:p w14:paraId="5155DF39" w14:textId="77777777" w:rsidR="007A63BB" w:rsidRDefault="007A63BB" w:rsidP="007A63BB"/>
    <w:p w14:paraId="66616572" w14:textId="77777777" w:rsidR="007A63BB" w:rsidRDefault="007A63BB" w:rsidP="007A63BB">
      <w:r w:rsidRPr="00CE71FE">
        <w:rPr>
          <w:b/>
        </w:rPr>
        <w:t xml:space="preserve">Figure </w:t>
      </w:r>
      <w:r>
        <w:rPr>
          <w:b/>
        </w:rPr>
        <w:t>3</w:t>
      </w:r>
      <w:r>
        <w:t xml:space="preserve"> – GHL Bank’s journey</w:t>
      </w:r>
    </w:p>
    <w:p w14:paraId="417DBB27" w14:textId="77777777" w:rsidR="007A63BB" w:rsidRDefault="007A63BB" w:rsidP="00CB6952"/>
    <w:p w14:paraId="0F81A0DC" w14:textId="77777777" w:rsidR="00B276E8" w:rsidRDefault="00B276E8" w:rsidP="00CB6952">
      <w:r>
        <w:rPr>
          <w:noProof/>
        </w:rPr>
        <w:lastRenderedPageBreak/>
        <w:drawing>
          <wp:inline distT="0" distB="0" distL="0" distR="0" wp14:anchorId="1474477D" wp14:editId="4BE73936">
            <wp:extent cx="5883677" cy="3786961"/>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6037" cy="3788480"/>
                    </a:xfrm>
                    <a:prstGeom prst="rect">
                      <a:avLst/>
                    </a:prstGeom>
                    <a:noFill/>
                  </pic:spPr>
                </pic:pic>
              </a:graphicData>
            </a:graphic>
          </wp:inline>
        </w:drawing>
      </w:r>
    </w:p>
    <w:p w14:paraId="7B04DBA7" w14:textId="77777777" w:rsidR="00B276E8" w:rsidRDefault="00B276E8" w:rsidP="00CB6952"/>
    <w:p w14:paraId="046B9DAB" w14:textId="77777777" w:rsidR="00F05A4B" w:rsidRDefault="0003635B">
      <w:pPr>
        <w:pStyle w:val="Heading1"/>
        <w:numPr>
          <w:ilvl w:val="0"/>
          <w:numId w:val="3"/>
        </w:numPr>
        <w:spacing w:after="200" w:line="276" w:lineRule="auto"/>
      </w:pPr>
      <w:bookmarkStart w:id="8" w:name="_Toc14085203"/>
      <w:r>
        <w:t>transaction rationale</w:t>
      </w:r>
      <w:bookmarkEnd w:id="8"/>
      <w:r>
        <w:t xml:space="preserve"> </w:t>
      </w:r>
    </w:p>
    <w:p w14:paraId="2F8C504F" w14:textId="77777777" w:rsidR="00F05A4B" w:rsidRDefault="0003635B">
      <w:r>
        <w:t>The FirstRand Group's current strategy</w:t>
      </w:r>
      <w:r w:rsidR="008E0D55">
        <w:t xml:space="preserve"> is anchored to achieving a better</w:t>
      </w:r>
      <w:r>
        <w:t xml:space="preserve"> diversified revenue profile from a segment, produc</w:t>
      </w:r>
      <w:r w:rsidR="008E0D55">
        <w:t xml:space="preserve">t and geographic perspective. </w:t>
      </w:r>
      <w:r w:rsidR="002F40E4">
        <w:t xml:space="preserve">FirstRand </w:t>
      </w:r>
      <w:r>
        <w:t xml:space="preserve">believes that successful execution of these diversification strategies will ensure it continues to deliver growth and sustainable superior returns for its shareholders. </w:t>
      </w:r>
      <w:r w:rsidR="00B276E8">
        <w:t xml:space="preserve">The rest of </w:t>
      </w:r>
      <w:r w:rsidR="0021230F" w:rsidRPr="00850D31">
        <w:t xml:space="preserve">Africa forms an important </w:t>
      </w:r>
      <w:r w:rsidR="006F5BDD" w:rsidRPr="00850D31">
        <w:t>pillar</w:t>
      </w:r>
      <w:r w:rsidR="0021230F" w:rsidRPr="00850D31">
        <w:t xml:space="preserve"> of this strategy and Ghana has been identified as a key growth market in this geography</w:t>
      </w:r>
      <w:r w:rsidR="006F5BDD" w:rsidRPr="00850D31">
        <w:t>.</w:t>
      </w:r>
    </w:p>
    <w:p w14:paraId="34F1C077" w14:textId="77777777" w:rsidR="00F05A4B" w:rsidRDefault="00F05A4B"/>
    <w:p w14:paraId="39715FEF" w14:textId="77777777" w:rsidR="003C5AC5" w:rsidRDefault="003C5AC5" w:rsidP="003C5AC5">
      <w:r w:rsidRPr="00850D31">
        <w:t>The GHL Bank management team have an impressive track record of building a profitable and return</w:t>
      </w:r>
      <w:r>
        <w:t xml:space="preserve"> </w:t>
      </w:r>
      <w:r w:rsidRPr="00850D31">
        <w:t xml:space="preserve">generative retail bank over the last ten years. </w:t>
      </w:r>
      <w:r>
        <w:t xml:space="preserve">Since converting </w:t>
      </w:r>
      <w:r w:rsidRPr="00850D31">
        <w:t xml:space="preserve">to a bank in </w:t>
      </w:r>
      <w:r>
        <w:t xml:space="preserve">2017, GHL Bank have </w:t>
      </w:r>
      <w:r w:rsidRPr="00850D31">
        <w:t xml:space="preserve">invested in extending its capabilities to expand its retail banking services into transactional banking. GHL Bank’s future plans include expanding their client focus into SME and </w:t>
      </w:r>
      <w:r>
        <w:t>c</w:t>
      </w:r>
      <w:r w:rsidRPr="00850D31">
        <w:t xml:space="preserve">orporate </w:t>
      </w:r>
      <w:r>
        <w:t>b</w:t>
      </w:r>
      <w:r w:rsidRPr="00850D31">
        <w:t xml:space="preserve">anking. The combination of GHL Bank’s expertise in </w:t>
      </w:r>
      <w:r>
        <w:t xml:space="preserve">retail </w:t>
      </w:r>
      <w:r w:rsidRPr="00850D31">
        <w:t xml:space="preserve">mortgage finance, coupled with the </w:t>
      </w:r>
      <w:r>
        <w:t>FNB</w:t>
      </w:r>
      <w:r w:rsidRPr="00850D31">
        <w:t xml:space="preserve">  Ghana’s CCIB and </w:t>
      </w:r>
      <w:r>
        <w:t>t</w:t>
      </w:r>
      <w:r w:rsidRPr="00850D31">
        <w:t xml:space="preserve">ransactional </w:t>
      </w:r>
      <w:r>
        <w:t>b</w:t>
      </w:r>
      <w:r w:rsidRPr="00850D31">
        <w:t>anking expertise is expected to accelerate the strategies of both entities, bringing operational synergies and the benefits of improved scale to both</w:t>
      </w:r>
      <w:r>
        <w:t>.</w:t>
      </w:r>
      <w:r w:rsidRPr="00850D31">
        <w:t xml:space="preserve"> </w:t>
      </w:r>
      <w:r>
        <w:t>FirstRand believe that the combined entity will benefit from these identified synergies.</w:t>
      </w:r>
    </w:p>
    <w:p w14:paraId="4D7A3156" w14:textId="77777777" w:rsidR="003C5AC5" w:rsidRDefault="003C5AC5" w:rsidP="003C5AC5"/>
    <w:p w14:paraId="63C37E17" w14:textId="336E3842" w:rsidR="00F05A4B" w:rsidRDefault="0003635B">
      <w:r>
        <w:t xml:space="preserve">The acquisition of </w:t>
      </w:r>
      <w:r w:rsidR="0021230F">
        <w:t xml:space="preserve">GHL Bank </w:t>
      </w:r>
      <w:r>
        <w:t>and subsequen</w:t>
      </w:r>
      <w:r w:rsidR="007237B8">
        <w:t xml:space="preserve">t </w:t>
      </w:r>
      <w:r w:rsidR="0021230F">
        <w:t xml:space="preserve">merging of </w:t>
      </w:r>
      <w:r w:rsidR="007A63BB">
        <w:t>FNB</w:t>
      </w:r>
      <w:r w:rsidR="00D60EA9">
        <w:t xml:space="preserve"> </w:t>
      </w:r>
      <w:r w:rsidR="0021230F">
        <w:t>Ghana and GHL Bank</w:t>
      </w:r>
      <w:r>
        <w:t xml:space="preserve"> will result in </w:t>
      </w:r>
      <w:r w:rsidR="0021230F">
        <w:t>a more</w:t>
      </w:r>
      <w:r w:rsidR="000F6DB1">
        <w:t xml:space="preserve"> efficient and</w:t>
      </w:r>
      <w:r w:rsidR="0021230F">
        <w:t xml:space="preserve"> </w:t>
      </w:r>
      <w:r w:rsidR="00032921">
        <w:t>scalable</w:t>
      </w:r>
      <w:r w:rsidR="0021230F">
        <w:t xml:space="preserve"> Ghanaian bank which should enable</w:t>
      </w:r>
      <w:r>
        <w:t xml:space="preserve"> greater opportunities for </w:t>
      </w:r>
      <w:r w:rsidR="0021230F">
        <w:t>customer growth and roll out of the CCIB</w:t>
      </w:r>
      <w:r w:rsidR="001C25E0">
        <w:t>-r</w:t>
      </w:r>
      <w:r w:rsidR="0021230F">
        <w:t xml:space="preserve"> bank strategy</w:t>
      </w:r>
      <w:r>
        <w:t xml:space="preserve">. </w:t>
      </w:r>
      <w:r w:rsidR="005501B0">
        <w:t xml:space="preserve">GHL Bank holds a leading position in the mortgage lending market in Ghana which brings new customers and cross sell opportunities to the </w:t>
      </w:r>
      <w:r w:rsidR="007A63BB">
        <w:t>FNB</w:t>
      </w:r>
      <w:r w:rsidR="000F6DB1">
        <w:t xml:space="preserve"> </w:t>
      </w:r>
      <w:r w:rsidR="005501B0">
        <w:t>Ghana ecosystem</w:t>
      </w:r>
      <w:r>
        <w:t>.</w:t>
      </w:r>
      <w:r w:rsidR="00D60EA9" w:rsidRPr="00D60EA9">
        <w:t xml:space="preserve"> </w:t>
      </w:r>
      <w:r w:rsidR="00D60EA9">
        <w:t xml:space="preserve">In addition, GHL Bank </w:t>
      </w:r>
      <w:r w:rsidR="00D60EA9">
        <w:lastRenderedPageBreak/>
        <w:t xml:space="preserve">is currently funded primarily by DFI funding, and given the FirstRand Group's South African balance sheet, there is opportunity to optimise this funding structure and extract synergies for the combined business.  </w:t>
      </w:r>
    </w:p>
    <w:p w14:paraId="5DC92DFE" w14:textId="77777777" w:rsidR="00F05A4B" w:rsidRDefault="00F05A4B"/>
    <w:p w14:paraId="09F649DC" w14:textId="77777777" w:rsidR="00B33860" w:rsidRDefault="007A63BB" w:rsidP="00B33860">
      <w:r>
        <w:t>FirstRand Group</w:t>
      </w:r>
      <w:r w:rsidR="00B33860">
        <w:t xml:space="preserve">’s stated strategic direction for Ghana is to focus primarily on the CCIB profit pools and business opportunities where scale can be achieved more rapidly while at the same time developing a retail banking offering, leveraging the CCIB ecosystem. </w:t>
      </w:r>
      <w:r w:rsidR="00D60EA9">
        <w:t>However, t</w:t>
      </w:r>
      <w:r w:rsidR="00B33860" w:rsidRPr="00FC0C4D">
        <w:t>he Ghanaian market siz</w:t>
      </w:r>
      <w:r w:rsidR="00B33860">
        <w:t xml:space="preserve">e </w:t>
      </w:r>
      <w:r w:rsidR="00B33860" w:rsidRPr="00FC0C4D">
        <w:t xml:space="preserve">is such that </w:t>
      </w:r>
      <w:r w:rsidR="00B33860">
        <w:t>a CCIB profit pool on its own, is not sufficient to justify the</w:t>
      </w:r>
      <w:r w:rsidR="00B33860" w:rsidRPr="00B748A7">
        <w:t xml:space="preserve"> </w:t>
      </w:r>
      <w:r w:rsidR="00B33860" w:rsidRPr="00D86D2E">
        <w:t>GH</w:t>
      </w:r>
      <w:r w:rsidR="00D60EA9">
        <w:rPr>
          <w:rFonts w:cs="Arial"/>
        </w:rPr>
        <w:t>S</w:t>
      </w:r>
      <w:r w:rsidR="00B33860">
        <w:rPr>
          <w:rFonts w:cs="Arial"/>
        </w:rPr>
        <w:t>400</w:t>
      </w:r>
      <w:r w:rsidR="00B33860" w:rsidRPr="00D86D2E">
        <w:t xml:space="preserve"> million</w:t>
      </w:r>
      <w:r w:rsidR="00B33860">
        <w:t xml:space="preserve"> investment and as such also</w:t>
      </w:r>
      <w:r w:rsidR="00B33860" w:rsidRPr="00FC0C4D">
        <w:t xml:space="preserve"> requires a retail offering to augment CCIB.</w:t>
      </w:r>
      <w:r w:rsidR="00B33860">
        <w:t xml:space="preserve"> The </w:t>
      </w:r>
      <w:r w:rsidR="00D60EA9">
        <w:t>r</w:t>
      </w:r>
      <w:r w:rsidR="00B33860">
        <w:t>etail opportunity is targeted at the affluent and premium segments of the market, leveraging digital channels and remote acquisition of clients at their workplaces (infrastructure light to accelerate the journey to retail profitability). Lending in retail has been focussed on unsecured credit to main-banked customers, with plans to roll out VAF in the short term and Mortgages planned for further in the future (as this product requires specific market expertise).</w:t>
      </w:r>
    </w:p>
    <w:p w14:paraId="487C3591" w14:textId="77777777" w:rsidR="00B33860" w:rsidRDefault="00B33860" w:rsidP="00B33860"/>
    <w:p w14:paraId="601FE1CD" w14:textId="77777777" w:rsidR="00B33860" w:rsidRDefault="00B33860" w:rsidP="00B33860">
      <w:r>
        <w:t>T</w:t>
      </w:r>
      <w:r w:rsidRPr="00FC0C4D">
        <w:t xml:space="preserve">he combined business </w:t>
      </w:r>
      <w:r>
        <w:t>will</w:t>
      </w:r>
      <w:r w:rsidRPr="00FC0C4D">
        <w:t xml:space="preserve"> </w:t>
      </w:r>
      <w:r>
        <w:t>retain the primary focus on</w:t>
      </w:r>
      <w:r w:rsidRPr="00FC0C4D">
        <w:t xml:space="preserve"> CCIB</w:t>
      </w:r>
      <w:r>
        <w:t xml:space="preserve"> clients</w:t>
      </w:r>
      <w:r w:rsidRPr="00FC0C4D">
        <w:t xml:space="preserve">, </w:t>
      </w:r>
      <w:r>
        <w:t xml:space="preserve">and </w:t>
      </w:r>
      <w:r w:rsidRPr="00FC0C4D">
        <w:t>the addition of a well</w:t>
      </w:r>
      <w:r>
        <w:t>-</w:t>
      </w:r>
      <w:r w:rsidRPr="00FC0C4D">
        <w:t xml:space="preserve">provided mortgage book </w:t>
      </w:r>
      <w:r>
        <w:t>will</w:t>
      </w:r>
      <w:r w:rsidRPr="00FC0C4D">
        <w:t xml:space="preserve"> add </w:t>
      </w:r>
      <w:r>
        <w:t xml:space="preserve">much needed </w:t>
      </w:r>
      <w:r w:rsidRPr="00FC0C4D">
        <w:t xml:space="preserve">scale to retail, and significantly improve the overall </w:t>
      </w:r>
      <w:r w:rsidR="00D60EA9">
        <w:t>return on invested capital and return on equity</w:t>
      </w:r>
      <w:r w:rsidRPr="00FC0C4D">
        <w:t xml:space="preserve"> </w:t>
      </w:r>
      <w:r>
        <w:t>profile</w:t>
      </w:r>
      <w:r w:rsidRPr="00FC0C4D">
        <w:t>.</w:t>
      </w:r>
      <w:r>
        <w:t xml:space="preserve"> The retail component of the </w:t>
      </w:r>
      <w:r w:rsidR="00D60EA9">
        <w:t xml:space="preserve">FNB Ghana </w:t>
      </w:r>
      <w:r>
        <w:t xml:space="preserve">business case </w:t>
      </w:r>
      <w:r w:rsidR="00D60EA9">
        <w:t xml:space="preserve">has </w:t>
      </w:r>
      <w:r>
        <w:t xml:space="preserve">always envisaged an acquisition as a possible means to scale quicker. </w:t>
      </w:r>
      <w:r w:rsidR="007A63BB">
        <w:t xml:space="preserve">FirstRand </w:t>
      </w:r>
      <w:r>
        <w:t>has been successful in developing retail businesses in those countries where significant acquisitions have been made (UK, Namibia, Botswana</w:t>
      </w:r>
      <w:r w:rsidR="002E342E">
        <w:t xml:space="preserve">) </w:t>
      </w:r>
      <w:r>
        <w:t>rather than developing these on a greenfields basis.</w:t>
      </w:r>
    </w:p>
    <w:p w14:paraId="4226656A" w14:textId="77777777" w:rsidR="00B33860" w:rsidRDefault="00B33860" w:rsidP="00B33860"/>
    <w:p w14:paraId="560D7B95" w14:textId="77777777" w:rsidR="00B33860" w:rsidRDefault="00B33860" w:rsidP="00B33860">
      <w:r>
        <w:t>The original strategic direction expected retail to be rolled out at a more cautious pace, given the deep investment required and the time to reach scale. T</w:t>
      </w:r>
      <w:r w:rsidRPr="002D1B32">
        <w:t xml:space="preserve">he proposed acquisition of GHL fast-tracks the introduction of </w:t>
      </w:r>
      <w:r>
        <w:t>mortgages in</w:t>
      </w:r>
      <w:r w:rsidRPr="002D1B32">
        <w:t xml:space="preserve"> </w:t>
      </w:r>
      <w:r>
        <w:t xml:space="preserve">the Ghana, it does so on the basis of significant in-country experience and expertise, in an area that forms part of the long-term strategy of </w:t>
      </w:r>
      <w:r w:rsidR="007A63BB">
        <w:t xml:space="preserve">FirstRand </w:t>
      </w:r>
      <w:r>
        <w:t>in Ghana.</w:t>
      </w:r>
    </w:p>
    <w:p w14:paraId="5E4AE86E" w14:textId="77777777" w:rsidR="007A63BB" w:rsidRDefault="007A63BB" w:rsidP="00B33860"/>
    <w:p w14:paraId="7AC3B3FA" w14:textId="77777777" w:rsidR="007A63BB" w:rsidRDefault="007A63BB" w:rsidP="007A63BB">
      <w:r>
        <w:t>The acceleration of FNB Ghana’s retail strategy is illustrated in Figure 4.</w:t>
      </w:r>
    </w:p>
    <w:p w14:paraId="40DC6CDD" w14:textId="77777777" w:rsidR="007A63BB" w:rsidRDefault="007A63BB" w:rsidP="007A63BB"/>
    <w:p w14:paraId="63493B9D" w14:textId="77777777" w:rsidR="007A63BB" w:rsidRDefault="007A63BB" w:rsidP="007A63BB">
      <w:r w:rsidRPr="00CE71FE">
        <w:rPr>
          <w:b/>
        </w:rPr>
        <w:t xml:space="preserve">Figure </w:t>
      </w:r>
      <w:r>
        <w:rPr>
          <w:b/>
        </w:rPr>
        <w:t>4</w:t>
      </w:r>
      <w:r>
        <w:t xml:space="preserve"> – Retail strategy in Ghana</w:t>
      </w:r>
    </w:p>
    <w:p w14:paraId="0B80F45E" w14:textId="77777777" w:rsidR="007A63BB" w:rsidRDefault="007A63BB" w:rsidP="007A63BB">
      <w:r w:rsidRPr="00CE71FE">
        <w:rPr>
          <w:i/>
        </w:rPr>
        <w:t>Source</w:t>
      </w:r>
      <w:r>
        <w:t xml:space="preserve">: </w:t>
      </w:r>
      <w:r w:rsidR="002F40E4">
        <w:t>FirstRand Group</w:t>
      </w:r>
    </w:p>
    <w:p w14:paraId="6D2B7710" w14:textId="77777777" w:rsidR="00A77AE7" w:rsidRPr="00D60EA9" w:rsidRDefault="00B33860" w:rsidP="00D60EA9">
      <w:pPr>
        <w:pStyle w:val="Bulletslevel1"/>
        <w:numPr>
          <w:ilvl w:val="0"/>
          <w:numId w:val="0"/>
        </w:numPr>
        <w:ind w:left="360" w:hanging="360"/>
      </w:pPr>
      <w:r>
        <w:rPr>
          <w:noProof/>
        </w:rPr>
        <w:drawing>
          <wp:inline distT="0" distB="0" distL="0" distR="0" wp14:anchorId="008AAC4E" wp14:editId="6300DE16">
            <wp:extent cx="6141671" cy="2306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46" cy="2315867"/>
                    </a:xfrm>
                    <a:prstGeom prst="rect">
                      <a:avLst/>
                    </a:prstGeom>
                    <a:noFill/>
                  </pic:spPr>
                </pic:pic>
              </a:graphicData>
            </a:graphic>
          </wp:inline>
        </w:drawing>
      </w:r>
    </w:p>
    <w:p w14:paraId="37839481" w14:textId="77777777" w:rsidR="00953016" w:rsidRDefault="00953016" w:rsidP="00953016">
      <w:r>
        <w:t>The GHL Bank business is attractive for several reasons, including:</w:t>
      </w:r>
    </w:p>
    <w:p w14:paraId="4DE4DDB9" w14:textId="77777777" w:rsidR="00953016" w:rsidRPr="007A63BB" w:rsidRDefault="00953016" w:rsidP="00953016">
      <w:pPr>
        <w:pStyle w:val="ListParagraph"/>
        <w:numPr>
          <w:ilvl w:val="0"/>
          <w:numId w:val="15"/>
        </w:numPr>
        <w:rPr>
          <w:rFonts w:cs="Arial"/>
          <w:szCs w:val="20"/>
        </w:rPr>
      </w:pPr>
      <w:r w:rsidRPr="007A63BB">
        <w:rPr>
          <w:rFonts w:cs="Arial"/>
          <w:szCs w:val="20"/>
        </w:rPr>
        <w:lastRenderedPageBreak/>
        <w:t>the acquisition offers a complementary product offering and the mortgage product is a core part of the retail offering in all the markets where FirstRand operates;</w:t>
      </w:r>
    </w:p>
    <w:p w14:paraId="601AD946" w14:textId="77777777" w:rsidR="00953016" w:rsidRPr="007A63BB" w:rsidRDefault="00953016" w:rsidP="00953016">
      <w:pPr>
        <w:pStyle w:val="ListParagraph"/>
        <w:numPr>
          <w:ilvl w:val="0"/>
          <w:numId w:val="15"/>
        </w:numPr>
        <w:rPr>
          <w:rFonts w:cs="Arial"/>
          <w:szCs w:val="20"/>
        </w:rPr>
      </w:pPr>
      <w:r w:rsidRPr="007A63BB">
        <w:rPr>
          <w:rFonts w:cs="Arial"/>
          <w:szCs w:val="20"/>
        </w:rPr>
        <w:t>GHL Bank has a strong management team and management has extensive knowledge of the market and mortgage lending.  Their experience has been gained over difficult economic cycles and requires navigation of a legal system that is not always suited to efficient work-outs;</w:t>
      </w:r>
    </w:p>
    <w:p w14:paraId="010E2ED2" w14:textId="77777777" w:rsidR="00953016" w:rsidRPr="007A63BB" w:rsidRDefault="00953016" w:rsidP="00953016">
      <w:pPr>
        <w:pStyle w:val="ListParagraph"/>
        <w:numPr>
          <w:ilvl w:val="0"/>
          <w:numId w:val="15"/>
        </w:numPr>
        <w:rPr>
          <w:rFonts w:cs="Arial"/>
          <w:szCs w:val="20"/>
        </w:rPr>
      </w:pPr>
      <w:r w:rsidRPr="007A63BB">
        <w:rPr>
          <w:rFonts w:cs="Arial"/>
          <w:szCs w:val="20"/>
        </w:rPr>
        <w:t>there are synergies in terms of points of presence as GHL Bank has branches in Kumasi, Takoradi, Tema and Accra and these are complementary to the current FNB Ghana expansion strategy in the business case;</w:t>
      </w:r>
    </w:p>
    <w:p w14:paraId="1826E058" w14:textId="77777777" w:rsidR="00953016" w:rsidRPr="007A63BB" w:rsidRDefault="00953016" w:rsidP="00953016">
      <w:pPr>
        <w:pStyle w:val="ListParagraph"/>
        <w:numPr>
          <w:ilvl w:val="0"/>
          <w:numId w:val="15"/>
        </w:numPr>
        <w:rPr>
          <w:rFonts w:cs="Arial"/>
          <w:szCs w:val="20"/>
        </w:rPr>
      </w:pPr>
      <w:r w:rsidRPr="007A63BB">
        <w:rPr>
          <w:rFonts w:cs="Arial"/>
          <w:szCs w:val="20"/>
        </w:rPr>
        <w:t>significant potential cost synergies have been identified in merging the two operations;</w:t>
      </w:r>
    </w:p>
    <w:p w14:paraId="26795056" w14:textId="77777777" w:rsidR="00953016" w:rsidRPr="007A63BB" w:rsidRDefault="00953016" w:rsidP="00953016">
      <w:pPr>
        <w:pStyle w:val="ListParagraph"/>
        <w:numPr>
          <w:ilvl w:val="0"/>
          <w:numId w:val="15"/>
        </w:numPr>
        <w:rPr>
          <w:rFonts w:cs="Arial"/>
          <w:szCs w:val="20"/>
        </w:rPr>
      </w:pPr>
      <w:r w:rsidRPr="007A63BB">
        <w:rPr>
          <w:rFonts w:cs="Arial"/>
          <w:szCs w:val="20"/>
        </w:rPr>
        <w:t>GHL Bank has a strong brand in the Ghanaian market and although it is a home loans brand, it has been able to attract a strong growth in liabilities since becoming a bank; and</w:t>
      </w:r>
    </w:p>
    <w:p w14:paraId="170BB359" w14:textId="77777777" w:rsidR="00953016" w:rsidRPr="007A63BB" w:rsidRDefault="00953016" w:rsidP="00953016">
      <w:pPr>
        <w:pStyle w:val="ListParagraph"/>
        <w:numPr>
          <w:ilvl w:val="0"/>
          <w:numId w:val="15"/>
        </w:numPr>
        <w:rPr>
          <w:rFonts w:cs="Arial"/>
          <w:szCs w:val="20"/>
        </w:rPr>
      </w:pPr>
      <w:r w:rsidRPr="007A63BB">
        <w:rPr>
          <w:rFonts w:cs="Arial"/>
          <w:szCs w:val="20"/>
        </w:rPr>
        <w:t>the transaction will allow FNB Ghana to gain market share as GHL Bank is a leading home loans provider in Ghana, with more than 50% of the total mortgage market. There is also opportunity to grow in this market as the mortgage market in Ghana is still nascent, with less than 10% of properties having mortgages.</w:t>
      </w:r>
    </w:p>
    <w:p w14:paraId="36EC0CBA" w14:textId="77777777" w:rsidR="00953016" w:rsidRPr="00B12BD8" w:rsidRDefault="00953016" w:rsidP="00B12BD8">
      <w:pPr>
        <w:rPr>
          <w:u w:val="single"/>
        </w:rPr>
      </w:pPr>
    </w:p>
    <w:p w14:paraId="18B0FDEC" w14:textId="77777777" w:rsidR="00F05A4B" w:rsidRPr="005501B0" w:rsidRDefault="00B276E8" w:rsidP="005501B0">
      <w:pPr>
        <w:pStyle w:val="ListParagraph"/>
        <w:numPr>
          <w:ilvl w:val="1"/>
          <w:numId w:val="3"/>
        </w:numPr>
        <w:rPr>
          <w:u w:val="single"/>
        </w:rPr>
      </w:pPr>
      <w:r>
        <w:rPr>
          <w:u w:val="single"/>
        </w:rPr>
        <w:t xml:space="preserve">Strategic alignment </w:t>
      </w:r>
    </w:p>
    <w:p w14:paraId="590A0752" w14:textId="77777777" w:rsidR="00F05A4B" w:rsidRDefault="00F05A4B"/>
    <w:p w14:paraId="70C7C4A8" w14:textId="77777777" w:rsidR="001C25E0" w:rsidRPr="00B276E8" w:rsidRDefault="005501B0" w:rsidP="001C25E0">
      <w:pPr>
        <w:pStyle w:val="ListParagraph"/>
        <w:numPr>
          <w:ilvl w:val="2"/>
          <w:numId w:val="3"/>
        </w:numPr>
      </w:pPr>
      <w:r w:rsidRPr="00B276E8">
        <w:t>GHL Bank</w:t>
      </w:r>
      <w:r w:rsidR="00B71CD5" w:rsidRPr="00B276E8">
        <w:t xml:space="preserve"> existing products</w:t>
      </w:r>
      <w:r w:rsidR="008445A3" w:rsidRPr="00B276E8">
        <w:t>:</w:t>
      </w:r>
    </w:p>
    <w:p w14:paraId="3AD04224" w14:textId="77777777" w:rsidR="000C5B31" w:rsidRPr="00850D31" w:rsidRDefault="008445A3" w:rsidP="00850D31">
      <w:pPr>
        <w:pStyle w:val="ListParagraph"/>
        <w:numPr>
          <w:ilvl w:val="0"/>
          <w:numId w:val="14"/>
        </w:numPr>
        <w:ind w:left="1440"/>
      </w:pPr>
      <w:r>
        <w:t>r</w:t>
      </w:r>
      <w:r w:rsidR="00B71CD5" w:rsidRPr="00850D31">
        <w:t xml:space="preserve">etail </w:t>
      </w:r>
      <w:r w:rsidR="00680F1E">
        <w:t>m</w:t>
      </w:r>
      <w:r w:rsidR="00B71CD5" w:rsidRPr="00850D31">
        <w:t xml:space="preserve">ortgage </w:t>
      </w:r>
      <w:r w:rsidR="00680F1E">
        <w:t>l</w:t>
      </w:r>
      <w:r w:rsidR="005501B0" w:rsidRPr="00850D31">
        <w:t>ending products</w:t>
      </w:r>
    </w:p>
    <w:p w14:paraId="62862223" w14:textId="77777777" w:rsidR="00B71CD5" w:rsidRPr="00850D31" w:rsidRDefault="008445A3">
      <w:pPr>
        <w:pStyle w:val="ListParagraph"/>
        <w:numPr>
          <w:ilvl w:val="0"/>
          <w:numId w:val="14"/>
        </w:numPr>
        <w:ind w:left="1440"/>
      </w:pPr>
      <w:r>
        <w:t>r</w:t>
      </w:r>
      <w:r w:rsidR="00B71CD5" w:rsidRPr="00850D31">
        <w:t xml:space="preserve">etail </w:t>
      </w:r>
      <w:r w:rsidR="00680F1E">
        <w:t>and</w:t>
      </w:r>
      <w:r w:rsidR="00B71CD5" w:rsidRPr="00850D31">
        <w:t xml:space="preserve"> SME </w:t>
      </w:r>
      <w:r w:rsidR="00680F1E">
        <w:t>t</w:t>
      </w:r>
      <w:r w:rsidR="005501B0" w:rsidRPr="00850D31">
        <w:t>ransactional banking</w:t>
      </w:r>
    </w:p>
    <w:p w14:paraId="4ED8885B" w14:textId="77777777" w:rsidR="00F05A4B" w:rsidRPr="00850D31" w:rsidRDefault="008445A3" w:rsidP="00850D31">
      <w:pPr>
        <w:pStyle w:val="ListParagraph"/>
        <w:numPr>
          <w:ilvl w:val="0"/>
          <w:numId w:val="14"/>
        </w:numPr>
        <w:ind w:left="1440"/>
      </w:pPr>
      <w:r>
        <w:t>r</w:t>
      </w:r>
      <w:r w:rsidR="00B71CD5" w:rsidRPr="00850D31">
        <w:t xml:space="preserve">etail </w:t>
      </w:r>
      <w:r w:rsidR="00680F1E">
        <w:t>u</w:t>
      </w:r>
      <w:r w:rsidR="00B71CD5" w:rsidRPr="00850D31">
        <w:t>nsecured loans</w:t>
      </w:r>
    </w:p>
    <w:p w14:paraId="63F3FD9F" w14:textId="77777777" w:rsidR="00BC49DB" w:rsidRPr="00850D31" w:rsidRDefault="008445A3">
      <w:pPr>
        <w:pStyle w:val="ListParagraph"/>
        <w:numPr>
          <w:ilvl w:val="0"/>
          <w:numId w:val="14"/>
        </w:numPr>
        <w:ind w:left="1440"/>
      </w:pPr>
      <w:r>
        <w:t>r</w:t>
      </w:r>
      <w:r w:rsidR="00B71CD5" w:rsidRPr="00850D31">
        <w:t xml:space="preserve">etail </w:t>
      </w:r>
      <w:r w:rsidR="00680F1E" w:rsidRPr="00850D31">
        <w:t xml:space="preserve">deposits </w:t>
      </w:r>
      <w:r w:rsidR="00680F1E">
        <w:t>and</w:t>
      </w:r>
      <w:r w:rsidR="00680F1E" w:rsidRPr="00850D31">
        <w:t xml:space="preserve"> investments</w:t>
      </w:r>
    </w:p>
    <w:p w14:paraId="2255B28D" w14:textId="77777777" w:rsidR="005501B0" w:rsidRPr="00850D31" w:rsidRDefault="008445A3" w:rsidP="00850D31">
      <w:pPr>
        <w:pStyle w:val="ListParagraph"/>
        <w:numPr>
          <w:ilvl w:val="0"/>
          <w:numId w:val="14"/>
        </w:numPr>
        <w:ind w:left="1440"/>
        <w:rPr>
          <w:b/>
        </w:rPr>
      </w:pPr>
      <w:r>
        <w:t>f</w:t>
      </w:r>
      <w:r w:rsidR="00680F1E" w:rsidRPr="00850D31">
        <w:t>oreign currency</w:t>
      </w:r>
    </w:p>
    <w:p w14:paraId="4CAF9361" w14:textId="77777777" w:rsidR="005501B0" w:rsidRPr="00BC49DB" w:rsidRDefault="005501B0">
      <w:pPr>
        <w:rPr>
          <w:b/>
        </w:rPr>
      </w:pPr>
    </w:p>
    <w:p w14:paraId="06B5C702" w14:textId="77777777" w:rsidR="000A02C9" w:rsidRPr="00B276E8" w:rsidRDefault="002208B9" w:rsidP="008445A3">
      <w:pPr>
        <w:pStyle w:val="ListParagraph"/>
        <w:numPr>
          <w:ilvl w:val="2"/>
          <w:numId w:val="3"/>
        </w:numPr>
      </w:pPr>
      <w:r w:rsidRPr="00B276E8">
        <w:t>FNB</w:t>
      </w:r>
      <w:r w:rsidR="00B71CD5" w:rsidRPr="00B276E8">
        <w:t xml:space="preserve"> </w:t>
      </w:r>
      <w:r w:rsidR="005501B0" w:rsidRPr="00B276E8">
        <w:t>Ghana</w:t>
      </w:r>
      <w:r w:rsidR="00B71CD5" w:rsidRPr="00B276E8">
        <w:t xml:space="preserve"> existing products</w:t>
      </w:r>
      <w:r w:rsidR="008445A3" w:rsidRPr="00B276E8">
        <w:t>:</w:t>
      </w:r>
    </w:p>
    <w:p w14:paraId="06A0583E" w14:textId="77777777" w:rsidR="005501B0" w:rsidRPr="00850D31" w:rsidRDefault="008445A3">
      <w:pPr>
        <w:pStyle w:val="ListParagraph"/>
        <w:numPr>
          <w:ilvl w:val="0"/>
          <w:numId w:val="14"/>
        </w:numPr>
        <w:ind w:left="1440"/>
      </w:pPr>
      <w:r>
        <w:t>r</w:t>
      </w:r>
      <w:r w:rsidR="00B71CD5" w:rsidRPr="00850D31">
        <w:t xml:space="preserve">etail </w:t>
      </w:r>
      <w:r w:rsidR="00680F1E">
        <w:t>and</w:t>
      </w:r>
      <w:r w:rsidR="00B71CD5" w:rsidRPr="00850D31">
        <w:t xml:space="preserve"> SME </w:t>
      </w:r>
      <w:r w:rsidR="00680F1E">
        <w:t>t</w:t>
      </w:r>
      <w:r w:rsidR="00B71CD5" w:rsidRPr="00850D31">
        <w:t>ransactional banking</w:t>
      </w:r>
    </w:p>
    <w:p w14:paraId="5066050F" w14:textId="77777777" w:rsidR="00B71CD5" w:rsidRPr="00850D31" w:rsidRDefault="008445A3">
      <w:pPr>
        <w:pStyle w:val="ListParagraph"/>
        <w:numPr>
          <w:ilvl w:val="0"/>
          <w:numId w:val="14"/>
        </w:numPr>
        <w:ind w:left="1440"/>
      </w:pPr>
      <w:r>
        <w:t>r</w:t>
      </w:r>
      <w:r w:rsidR="00B71CD5" w:rsidRPr="00850D31">
        <w:t xml:space="preserve">etail and SME </w:t>
      </w:r>
      <w:r w:rsidR="00680F1E">
        <w:t>u</w:t>
      </w:r>
      <w:r w:rsidR="00B71CD5" w:rsidRPr="00850D31">
        <w:t xml:space="preserve">nsecured </w:t>
      </w:r>
      <w:r w:rsidR="00680F1E">
        <w:t>l</w:t>
      </w:r>
      <w:r w:rsidR="00B71CD5" w:rsidRPr="00850D31">
        <w:t>oans</w:t>
      </w:r>
    </w:p>
    <w:p w14:paraId="74DCF5AD" w14:textId="77777777" w:rsidR="00B71CD5" w:rsidRPr="00850D31" w:rsidRDefault="008445A3">
      <w:pPr>
        <w:pStyle w:val="ListParagraph"/>
        <w:numPr>
          <w:ilvl w:val="0"/>
          <w:numId w:val="14"/>
        </w:numPr>
        <w:ind w:left="1440"/>
      </w:pPr>
      <w:r>
        <w:t>r</w:t>
      </w:r>
      <w:r w:rsidR="00B71CD5" w:rsidRPr="00850D31">
        <w:t xml:space="preserve">etail and SME </w:t>
      </w:r>
      <w:r w:rsidR="00680F1E">
        <w:t>d</w:t>
      </w:r>
      <w:r w:rsidR="00B71CD5" w:rsidRPr="00850D31">
        <w:t xml:space="preserve">eposits </w:t>
      </w:r>
      <w:r w:rsidR="00680F1E">
        <w:t>and i</w:t>
      </w:r>
      <w:r w:rsidR="00B71CD5" w:rsidRPr="00850D31">
        <w:t>nvestments</w:t>
      </w:r>
    </w:p>
    <w:p w14:paraId="5BC9D6E5" w14:textId="77777777" w:rsidR="00B71CD5" w:rsidRPr="00850D31" w:rsidRDefault="00B71CD5">
      <w:pPr>
        <w:pStyle w:val="ListParagraph"/>
        <w:numPr>
          <w:ilvl w:val="0"/>
          <w:numId w:val="14"/>
        </w:numPr>
        <w:ind w:left="1440"/>
      </w:pPr>
      <w:r w:rsidRPr="00850D31">
        <w:t xml:space="preserve">CCIB </w:t>
      </w:r>
      <w:r w:rsidR="00680F1E">
        <w:t>t</w:t>
      </w:r>
      <w:r w:rsidRPr="00850D31">
        <w:t>ransactional</w:t>
      </w:r>
      <w:r w:rsidR="00BC49DB" w:rsidRPr="00850D31">
        <w:t xml:space="preserve"> including card acquiring</w:t>
      </w:r>
    </w:p>
    <w:p w14:paraId="69460281" w14:textId="77777777" w:rsidR="00B71CD5" w:rsidRPr="00850D31" w:rsidRDefault="00B71CD5">
      <w:pPr>
        <w:pStyle w:val="ListParagraph"/>
        <w:numPr>
          <w:ilvl w:val="0"/>
          <w:numId w:val="14"/>
        </w:numPr>
        <w:ind w:left="1440"/>
      </w:pPr>
      <w:r w:rsidRPr="00850D31">
        <w:t>CCIB</w:t>
      </w:r>
      <w:r w:rsidR="00680F1E">
        <w:t xml:space="preserve"> s</w:t>
      </w:r>
      <w:r w:rsidRPr="00850D31">
        <w:t xml:space="preserve">ecured and </w:t>
      </w:r>
      <w:r w:rsidR="00680F1E">
        <w:t>u</w:t>
      </w:r>
      <w:r w:rsidRPr="00850D31">
        <w:t>nsecured lending</w:t>
      </w:r>
    </w:p>
    <w:p w14:paraId="3DDAFD9C" w14:textId="77777777" w:rsidR="00B71CD5" w:rsidRPr="00850D31" w:rsidRDefault="00B71CD5">
      <w:pPr>
        <w:pStyle w:val="ListParagraph"/>
        <w:numPr>
          <w:ilvl w:val="0"/>
          <w:numId w:val="14"/>
        </w:numPr>
        <w:ind w:left="1440"/>
      </w:pPr>
      <w:r w:rsidRPr="00850D31">
        <w:t xml:space="preserve">CCIB </w:t>
      </w:r>
      <w:r w:rsidR="00680F1E">
        <w:t>s</w:t>
      </w:r>
      <w:r w:rsidRPr="00850D31">
        <w:t>tructured products</w:t>
      </w:r>
    </w:p>
    <w:p w14:paraId="15400EFC" w14:textId="77777777" w:rsidR="00BC49DB" w:rsidRPr="00850D31" w:rsidRDefault="00BC49DB">
      <w:pPr>
        <w:pStyle w:val="ListParagraph"/>
        <w:numPr>
          <w:ilvl w:val="0"/>
          <w:numId w:val="14"/>
        </w:numPr>
        <w:ind w:left="1440"/>
      </w:pPr>
      <w:r w:rsidRPr="00850D31">
        <w:t xml:space="preserve">CCIB </w:t>
      </w:r>
      <w:r w:rsidR="00680F1E">
        <w:t>g</w:t>
      </w:r>
      <w:r w:rsidRPr="00850D31">
        <w:t xml:space="preserve">lobal </w:t>
      </w:r>
      <w:r w:rsidR="00680F1E">
        <w:t>m</w:t>
      </w:r>
      <w:r w:rsidRPr="00850D31">
        <w:t>arkets products</w:t>
      </w:r>
    </w:p>
    <w:p w14:paraId="558B8DB2" w14:textId="77777777" w:rsidR="00BC49DB" w:rsidRPr="00850D31" w:rsidRDefault="008445A3">
      <w:pPr>
        <w:pStyle w:val="ListParagraph"/>
        <w:numPr>
          <w:ilvl w:val="0"/>
          <w:numId w:val="14"/>
        </w:numPr>
        <w:ind w:left="1440"/>
      </w:pPr>
      <w:r>
        <w:t>f</w:t>
      </w:r>
      <w:r w:rsidR="00BC49DB" w:rsidRPr="00850D31">
        <w:t xml:space="preserve">oreign </w:t>
      </w:r>
      <w:r w:rsidR="00680F1E">
        <w:t>c</w:t>
      </w:r>
      <w:r w:rsidR="00BC49DB" w:rsidRPr="00850D31">
        <w:t>urrency</w:t>
      </w:r>
    </w:p>
    <w:p w14:paraId="65C7CFB0" w14:textId="77777777" w:rsidR="007A63BB" w:rsidRDefault="007A63BB" w:rsidP="00B33860">
      <w:pPr>
        <w:rPr>
          <w:u w:val="single"/>
        </w:rPr>
      </w:pPr>
    </w:p>
    <w:p w14:paraId="3D776D9A" w14:textId="77777777" w:rsidR="007A63BB" w:rsidRDefault="007A63BB" w:rsidP="007A63BB">
      <w:r>
        <w:t xml:space="preserve">The </w:t>
      </w:r>
      <w:r w:rsidR="00B276E8">
        <w:t xml:space="preserve">strategic alignment between FNB Ghana and GHL Bank </w:t>
      </w:r>
      <w:r>
        <w:t>is illustrated in Figure 5.</w:t>
      </w:r>
    </w:p>
    <w:p w14:paraId="29B47E8B" w14:textId="77777777" w:rsidR="007A63BB" w:rsidRDefault="007A63BB" w:rsidP="007A63BB"/>
    <w:p w14:paraId="0C676CEC" w14:textId="77777777" w:rsidR="007A63BB" w:rsidRDefault="007A63BB" w:rsidP="00B33860">
      <w:r w:rsidRPr="00CE71FE">
        <w:rPr>
          <w:b/>
        </w:rPr>
        <w:t xml:space="preserve">Figure </w:t>
      </w:r>
      <w:r>
        <w:rPr>
          <w:b/>
        </w:rPr>
        <w:t>5</w:t>
      </w:r>
      <w:r>
        <w:t xml:space="preserve"> – FNB Ghana and GHL Bank strategy </w:t>
      </w:r>
    </w:p>
    <w:p w14:paraId="76CA45B7" w14:textId="77777777" w:rsidR="00B33860" w:rsidRDefault="00B33860" w:rsidP="00B33860"/>
    <w:p w14:paraId="48E16F39" w14:textId="77777777" w:rsidR="00B33860" w:rsidRDefault="00B33860" w:rsidP="00B33860">
      <w:r>
        <w:rPr>
          <w:noProof/>
        </w:rPr>
        <w:lastRenderedPageBreak/>
        <w:drawing>
          <wp:inline distT="0" distB="0" distL="0" distR="0" wp14:anchorId="3354E336" wp14:editId="5A9D5F2A">
            <wp:extent cx="4545921" cy="2684678"/>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7110" cy="2697191"/>
                    </a:xfrm>
                    <a:prstGeom prst="rect">
                      <a:avLst/>
                    </a:prstGeom>
                    <a:noFill/>
                  </pic:spPr>
                </pic:pic>
              </a:graphicData>
            </a:graphic>
          </wp:inline>
        </w:drawing>
      </w:r>
    </w:p>
    <w:p w14:paraId="0B74AD5C" w14:textId="77777777" w:rsidR="00B33860" w:rsidRPr="00343F17" w:rsidRDefault="00B33860" w:rsidP="00B33860"/>
    <w:p w14:paraId="162B591F" w14:textId="77777777" w:rsidR="00F05A4B" w:rsidRDefault="005501B0">
      <w:pPr>
        <w:pStyle w:val="ListParagraph"/>
        <w:numPr>
          <w:ilvl w:val="1"/>
          <w:numId w:val="3"/>
        </w:numPr>
        <w:rPr>
          <w:u w:val="single"/>
        </w:rPr>
      </w:pPr>
      <w:r w:rsidRPr="00BC49DB">
        <w:rPr>
          <w:u w:val="single"/>
        </w:rPr>
        <w:t xml:space="preserve">Combined business </w:t>
      </w:r>
      <w:r w:rsidR="003C5AC5">
        <w:rPr>
          <w:u w:val="single"/>
        </w:rPr>
        <w:t>strategy</w:t>
      </w:r>
    </w:p>
    <w:p w14:paraId="1806C4AB" w14:textId="77777777" w:rsidR="006B230F" w:rsidRPr="00850D31" w:rsidRDefault="006B230F" w:rsidP="00850D31">
      <w:pPr>
        <w:rPr>
          <w:u w:val="single"/>
        </w:rPr>
      </w:pPr>
    </w:p>
    <w:p w14:paraId="56B395C2" w14:textId="77777777" w:rsidR="006B230F" w:rsidRDefault="006B230F" w:rsidP="006B230F">
      <w:r>
        <w:t>GHL</w:t>
      </w:r>
      <w:r w:rsidR="007A63BB">
        <w:t xml:space="preserve"> Bank</w:t>
      </w:r>
      <w:r>
        <w:t xml:space="preserve">’s banking activities will fit into the retail </w:t>
      </w:r>
      <w:r w:rsidR="00B276E8">
        <w:t>portion</w:t>
      </w:r>
      <w:r>
        <w:t xml:space="preserve"> of </w:t>
      </w:r>
      <w:r w:rsidR="007A63BB">
        <w:t xml:space="preserve">FirstRand </w:t>
      </w:r>
      <w:r w:rsidR="00B276E8">
        <w:t>g</w:t>
      </w:r>
      <w:r w:rsidR="007A63BB">
        <w:t>roup</w:t>
      </w:r>
      <w:r>
        <w:t xml:space="preserve">’s </w:t>
      </w:r>
      <w:r w:rsidR="00B276E8">
        <w:t xml:space="preserve">overall market </w:t>
      </w:r>
      <w:r>
        <w:t xml:space="preserve">strategy in Ghana, which is to focus on CCIB, backed by a strong retail business that provides funding and transactional activity.  </w:t>
      </w:r>
    </w:p>
    <w:p w14:paraId="428511D0" w14:textId="77777777" w:rsidR="002208B9" w:rsidRDefault="002208B9" w:rsidP="006B230F"/>
    <w:p w14:paraId="06092658" w14:textId="77777777" w:rsidR="002208B9" w:rsidRPr="00343F17" w:rsidRDefault="002208B9" w:rsidP="002208B9">
      <w:r w:rsidRPr="00343F17">
        <w:t xml:space="preserve">The GHL </w:t>
      </w:r>
      <w:r w:rsidR="007A63BB">
        <w:t xml:space="preserve">Bank </w:t>
      </w:r>
      <w:r w:rsidRPr="00343F17">
        <w:t>strategy is compl</w:t>
      </w:r>
      <w:r>
        <w:t>e</w:t>
      </w:r>
      <w:r w:rsidRPr="00343F17">
        <w:t>mentary to the FNB</w:t>
      </w:r>
      <w:r w:rsidR="007A63BB">
        <w:t xml:space="preserve"> </w:t>
      </w:r>
      <w:r w:rsidRPr="00343F17">
        <w:t>G</w:t>
      </w:r>
      <w:r w:rsidR="007A63BB">
        <w:t>hana</w:t>
      </w:r>
      <w:r w:rsidRPr="00343F17">
        <w:t xml:space="preserve"> retail segment strategy</w:t>
      </w:r>
      <w:r w:rsidR="001D56B8">
        <w:t xml:space="preserve"> with:</w:t>
      </w:r>
    </w:p>
    <w:p w14:paraId="28109FEA" w14:textId="77777777" w:rsidR="002208B9" w:rsidRPr="00343F17" w:rsidRDefault="002208B9" w:rsidP="002208B9">
      <w:pPr>
        <w:pStyle w:val="Bulletslevel1"/>
      </w:pPr>
      <w:r>
        <w:t>p</w:t>
      </w:r>
      <w:r w:rsidRPr="00343F17">
        <w:t>remium target market</w:t>
      </w:r>
      <w:r>
        <w:t>;</w:t>
      </w:r>
    </w:p>
    <w:p w14:paraId="20D3925A" w14:textId="77777777" w:rsidR="002208B9" w:rsidRPr="00343F17" w:rsidRDefault="002208B9" w:rsidP="002208B9">
      <w:pPr>
        <w:pStyle w:val="Bulletslevel1"/>
      </w:pPr>
      <w:r>
        <w:t>infrastructure</w:t>
      </w:r>
      <w:r w:rsidR="001D56B8">
        <w:t xml:space="preserve"> </w:t>
      </w:r>
      <w:r w:rsidRPr="00343F17">
        <w:t>light</w:t>
      </w:r>
      <w:r w:rsidR="001D56B8">
        <w:t xml:space="preserve"> and </w:t>
      </w:r>
      <w:r w:rsidRPr="00343F17">
        <w:t>digitally</w:t>
      </w:r>
      <w:r>
        <w:t>-</w:t>
      </w:r>
      <w:r w:rsidRPr="00343F17">
        <w:t>enabled approach</w:t>
      </w:r>
      <w:r>
        <w:t>;</w:t>
      </w:r>
    </w:p>
    <w:p w14:paraId="6FA23EF7" w14:textId="77777777" w:rsidR="002208B9" w:rsidRPr="00343F17" w:rsidRDefault="002208B9" w:rsidP="002208B9">
      <w:pPr>
        <w:pStyle w:val="Bulletslevel1"/>
      </w:pPr>
      <w:r>
        <w:t>c</w:t>
      </w:r>
      <w:r w:rsidRPr="00343F17">
        <w:t>ompl</w:t>
      </w:r>
      <w:r w:rsidR="007A63BB">
        <w:t>e</w:t>
      </w:r>
      <w:r w:rsidRPr="00343F17">
        <w:t>mentary branch locations</w:t>
      </w:r>
      <w:r>
        <w:t>;</w:t>
      </w:r>
    </w:p>
    <w:p w14:paraId="3E567361" w14:textId="77777777" w:rsidR="002208B9" w:rsidRPr="00343F17" w:rsidRDefault="00B276E8" w:rsidP="002208B9">
      <w:pPr>
        <w:pStyle w:val="Bulletslevel1"/>
      </w:pPr>
      <w:r>
        <w:t>attractive</w:t>
      </w:r>
      <w:r w:rsidR="001D56B8">
        <w:t xml:space="preserve"> </w:t>
      </w:r>
      <w:r w:rsidR="002208B9">
        <w:t>v</w:t>
      </w:r>
      <w:r w:rsidR="002208B9" w:rsidRPr="00343F17">
        <w:t xml:space="preserve">alue </w:t>
      </w:r>
      <w:r w:rsidR="002208B9">
        <w:t>p</w:t>
      </w:r>
      <w:r w:rsidR="002208B9" w:rsidRPr="00343F17">
        <w:t>ropositions and rewards</w:t>
      </w:r>
      <w:r w:rsidR="002208B9">
        <w:t>;</w:t>
      </w:r>
      <w:r w:rsidR="001D56B8">
        <w:t xml:space="preserve"> and</w:t>
      </w:r>
    </w:p>
    <w:p w14:paraId="15952E93" w14:textId="77777777" w:rsidR="002208B9" w:rsidRDefault="002208B9" w:rsidP="002208B9">
      <w:pPr>
        <w:pStyle w:val="Bulletslevel1"/>
      </w:pPr>
      <w:r>
        <w:t>s</w:t>
      </w:r>
      <w:r w:rsidRPr="00343F17">
        <w:t xml:space="preserve">ales approach </w:t>
      </w:r>
      <w:r w:rsidR="001D56B8">
        <w:t>with</w:t>
      </w:r>
      <w:r w:rsidRPr="00343F17">
        <w:t xml:space="preserve"> </w:t>
      </w:r>
      <w:r>
        <w:t>t</w:t>
      </w:r>
      <w:r w:rsidRPr="00343F17">
        <w:t>ablet sales outside branches</w:t>
      </w:r>
      <w:r w:rsidR="001D56B8">
        <w:t>.</w:t>
      </w:r>
    </w:p>
    <w:p w14:paraId="17288B2E" w14:textId="77777777" w:rsidR="00D60EA9" w:rsidRPr="00343F17" w:rsidRDefault="00D60EA9" w:rsidP="00B12BD8">
      <w:pPr>
        <w:pStyle w:val="Bulletslevel1"/>
        <w:numPr>
          <w:ilvl w:val="0"/>
          <w:numId w:val="0"/>
        </w:numPr>
      </w:pPr>
    </w:p>
    <w:p w14:paraId="09702C05" w14:textId="77777777" w:rsidR="002208B9" w:rsidRDefault="001D56B8" w:rsidP="007A63BB">
      <w:pPr>
        <w:pStyle w:val="Bulletslevel1"/>
        <w:numPr>
          <w:ilvl w:val="0"/>
          <w:numId w:val="0"/>
        </w:numPr>
        <w:jc w:val="both"/>
      </w:pPr>
      <w:r>
        <w:t>T</w:t>
      </w:r>
      <w:r w:rsidR="002208B9" w:rsidRPr="00343F17">
        <w:t xml:space="preserve">he </w:t>
      </w:r>
      <w:r w:rsidR="002208B9">
        <w:t>FNB</w:t>
      </w:r>
      <w:r w:rsidR="007A63BB">
        <w:t xml:space="preserve"> </w:t>
      </w:r>
      <w:r w:rsidR="002208B9">
        <w:t>G</w:t>
      </w:r>
      <w:r w:rsidR="007A63BB">
        <w:t>hana</w:t>
      </w:r>
      <w:r w:rsidR="002208B9">
        <w:t xml:space="preserve"> </w:t>
      </w:r>
      <w:r w:rsidR="002208B9" w:rsidRPr="00343F17">
        <w:t xml:space="preserve">strategy </w:t>
      </w:r>
      <w:r w:rsidR="00D60EA9">
        <w:t>for</w:t>
      </w:r>
      <w:r w:rsidR="002208B9" w:rsidRPr="00343F17">
        <w:t xml:space="preserve"> </w:t>
      </w:r>
      <w:r w:rsidR="002208B9">
        <w:t>h</w:t>
      </w:r>
      <w:r w:rsidR="002208B9" w:rsidRPr="00343F17">
        <w:t xml:space="preserve">ome </w:t>
      </w:r>
      <w:r w:rsidR="002208B9">
        <w:t>l</w:t>
      </w:r>
      <w:r w:rsidR="002208B9" w:rsidRPr="00343F17">
        <w:t xml:space="preserve">oans was </w:t>
      </w:r>
      <w:r w:rsidR="00B276E8">
        <w:t>for a future</w:t>
      </w:r>
      <w:r w:rsidR="002208B9" w:rsidRPr="00343F17">
        <w:t xml:space="preserve"> launch </w:t>
      </w:r>
      <w:r w:rsidR="002208B9">
        <w:t xml:space="preserve">to </w:t>
      </w:r>
      <w:r w:rsidR="002208B9" w:rsidRPr="00343F17">
        <w:t xml:space="preserve">the upper end </w:t>
      </w:r>
      <w:r w:rsidR="002208B9">
        <w:t>p</w:t>
      </w:r>
      <w:r w:rsidR="002208B9" w:rsidRPr="00343F17">
        <w:t>remium market in the medium to long term</w:t>
      </w:r>
      <w:r w:rsidR="002208B9">
        <w:t>.</w:t>
      </w:r>
      <w:r w:rsidR="002208B9" w:rsidRPr="00343F17">
        <w:t xml:space="preserve"> </w:t>
      </w:r>
      <w:r>
        <w:t>Thus, t</w:t>
      </w:r>
      <w:r w:rsidR="007A63BB">
        <w:t>he acqu</w:t>
      </w:r>
      <w:r w:rsidR="00A77AE7">
        <w:t>is</w:t>
      </w:r>
      <w:r w:rsidR="007A63BB">
        <w:t xml:space="preserve">ition of </w:t>
      </w:r>
      <w:r w:rsidR="002208B9" w:rsidRPr="00343F17">
        <w:t>GHL</w:t>
      </w:r>
      <w:r w:rsidR="007A63BB">
        <w:t xml:space="preserve"> Bank will</w:t>
      </w:r>
      <w:r w:rsidR="002208B9" w:rsidRPr="00343F17">
        <w:t xml:space="preserve"> allow these products to be enabled for </w:t>
      </w:r>
      <w:r w:rsidR="002208B9">
        <w:t>FNB</w:t>
      </w:r>
      <w:r w:rsidR="007A63BB">
        <w:t xml:space="preserve"> </w:t>
      </w:r>
      <w:r w:rsidR="002208B9">
        <w:t>G</w:t>
      </w:r>
      <w:r w:rsidR="007A63BB">
        <w:t>hana</w:t>
      </w:r>
      <w:r w:rsidR="002208B9">
        <w:t xml:space="preserve"> on an expedited basis with significantly less operational risk</w:t>
      </w:r>
      <w:r w:rsidR="002208B9" w:rsidRPr="00343F17">
        <w:t xml:space="preserve">. </w:t>
      </w:r>
    </w:p>
    <w:p w14:paraId="2F557A28" w14:textId="77777777" w:rsidR="000C5B31" w:rsidRDefault="000C5B31" w:rsidP="000C5B31"/>
    <w:p w14:paraId="7D3C2F2A" w14:textId="77777777" w:rsidR="002D4F62" w:rsidRDefault="007A63BB" w:rsidP="000C5B31">
      <w:r>
        <w:t xml:space="preserve">It is </w:t>
      </w:r>
      <w:r w:rsidR="002F40E4">
        <w:t>FirstRand Group</w:t>
      </w:r>
      <w:r>
        <w:t xml:space="preserve">’s intention is to run the merged entity as a single business, with specific segmental focus on CCIB and </w:t>
      </w:r>
      <w:r w:rsidR="00D60EA9">
        <w:t>r</w:t>
      </w:r>
      <w:r>
        <w:t>etail (now incorporating home loans). Thus, th</w:t>
      </w:r>
      <w:r w:rsidR="000C5B31">
        <w:t xml:space="preserve">e combined business </w:t>
      </w:r>
      <w:r w:rsidR="00BB26EE">
        <w:t xml:space="preserve">strategy </w:t>
      </w:r>
      <w:r w:rsidR="000C5B31">
        <w:t>would remain CCIB</w:t>
      </w:r>
      <w:r w:rsidR="001C25E0">
        <w:t>-r</w:t>
      </w:r>
      <w:r w:rsidR="000C5B31">
        <w:t xml:space="preserve"> however </w:t>
      </w:r>
      <w:r w:rsidR="00BB26EE">
        <w:t>the addition of GHL Bank will naturally</w:t>
      </w:r>
      <w:r w:rsidR="000C5B31">
        <w:t xml:space="preserve"> </w:t>
      </w:r>
      <w:r w:rsidR="00BB26EE">
        <w:t>accelerate the</w:t>
      </w:r>
      <w:r w:rsidR="000C5B31">
        <w:t xml:space="preserve"> </w:t>
      </w:r>
      <w:r w:rsidR="00BB26EE">
        <w:t xml:space="preserve">achievement of critical mass in </w:t>
      </w:r>
      <w:r w:rsidR="000C5B31">
        <w:t>retail bank</w:t>
      </w:r>
      <w:r w:rsidR="00BB26EE">
        <w:t>ing</w:t>
      </w:r>
      <w:r w:rsidR="002113E9">
        <w:t xml:space="preserve">. GHL Bank’s existing </w:t>
      </w:r>
      <w:r w:rsidR="00BB26EE">
        <w:t>segment focus is on</w:t>
      </w:r>
      <w:r w:rsidR="002113E9">
        <w:t xml:space="preserve"> affluent and wealthier clients</w:t>
      </w:r>
      <w:r w:rsidR="00BB26EE">
        <w:t>, which</w:t>
      </w:r>
      <w:r w:rsidR="002113E9">
        <w:t xml:space="preserve"> </w:t>
      </w:r>
      <w:r w:rsidR="00BB26EE">
        <w:t>compl</w:t>
      </w:r>
      <w:r>
        <w:t>e</w:t>
      </w:r>
      <w:r w:rsidR="00BB26EE">
        <w:t xml:space="preserve">ments the </w:t>
      </w:r>
      <w:r>
        <w:t>FNB</w:t>
      </w:r>
      <w:r w:rsidR="00BB26EE">
        <w:t xml:space="preserve"> Ghana’s affluent focus in retail. Both banks have been pursuing an infrastructure</w:t>
      </w:r>
      <w:r w:rsidR="00D60EA9">
        <w:t xml:space="preserve"> </w:t>
      </w:r>
      <w:r w:rsidR="00BB26EE">
        <w:t xml:space="preserve">light strategy with a primary focus on digital banking. </w:t>
      </w:r>
      <w:r>
        <w:t>FNB</w:t>
      </w:r>
      <w:r w:rsidR="00BB26EE">
        <w:t xml:space="preserve"> Ghana has 7 bank branches, and GHL Bank has 4 branches. The physical location of the branches is compl</w:t>
      </w:r>
      <w:r>
        <w:t>e</w:t>
      </w:r>
      <w:r w:rsidR="00BB26EE">
        <w:t>mentary (GHL</w:t>
      </w:r>
      <w:r>
        <w:t xml:space="preserve"> </w:t>
      </w:r>
      <w:r w:rsidR="00BB26EE">
        <w:t xml:space="preserve">Bank’s branches are in locations that coincide with </w:t>
      </w:r>
      <w:r>
        <w:t>FNB</w:t>
      </w:r>
      <w:r w:rsidR="00BB26EE">
        <w:t xml:space="preserve"> Ghana’s plans for future branch expansion). In addition, the larger retail customer base will present opportunities for growth in</w:t>
      </w:r>
      <w:r w:rsidR="006F56E4">
        <w:t xml:space="preserve"> Commercial and Corporate banking</w:t>
      </w:r>
      <w:r w:rsidR="002113E9">
        <w:t xml:space="preserve">. The </w:t>
      </w:r>
      <w:r w:rsidR="006F56E4">
        <w:t xml:space="preserve">combined </w:t>
      </w:r>
      <w:r w:rsidR="002113E9">
        <w:t xml:space="preserve">IT capabilities </w:t>
      </w:r>
      <w:r w:rsidR="006F56E4">
        <w:t xml:space="preserve">will </w:t>
      </w:r>
      <w:r w:rsidR="00B276E8">
        <w:t xml:space="preserve">continue to </w:t>
      </w:r>
      <w:r w:rsidR="006F56E4">
        <w:t xml:space="preserve">enable </w:t>
      </w:r>
      <w:r w:rsidR="002113E9">
        <w:t>a</w:t>
      </w:r>
      <w:r w:rsidR="00B276E8">
        <w:t xml:space="preserve">n </w:t>
      </w:r>
      <w:r w:rsidR="002113E9">
        <w:t>agile and digital</w:t>
      </w:r>
      <w:r w:rsidR="00B276E8">
        <w:t>ly</w:t>
      </w:r>
      <w:r w:rsidR="002113E9">
        <w:t xml:space="preserve"> </w:t>
      </w:r>
      <w:r w:rsidR="002113E9">
        <w:lastRenderedPageBreak/>
        <w:t xml:space="preserve">led bank which is branch and ATM infrastructure light. The brands and market positioning of the two entities is similar with aligned customer value propositions. </w:t>
      </w:r>
    </w:p>
    <w:p w14:paraId="08EA47E9" w14:textId="77777777" w:rsidR="00953016" w:rsidRDefault="00953016" w:rsidP="00953016">
      <w:pPr>
        <w:pStyle w:val="Heading1"/>
        <w:numPr>
          <w:ilvl w:val="0"/>
          <w:numId w:val="3"/>
        </w:numPr>
      </w:pPr>
      <w:bookmarkStart w:id="9" w:name="_Toc14085204"/>
      <w:r>
        <w:t>operating model</w:t>
      </w:r>
      <w:bookmarkEnd w:id="9"/>
    </w:p>
    <w:p w14:paraId="1ED56D9E" w14:textId="77777777" w:rsidR="00B276E8" w:rsidRDefault="00B276E8" w:rsidP="00B276E8">
      <w:pPr>
        <w:pStyle w:val="ListParagraph"/>
        <w:numPr>
          <w:ilvl w:val="1"/>
          <w:numId w:val="3"/>
        </w:numPr>
        <w:rPr>
          <w:u w:val="single"/>
        </w:rPr>
      </w:pPr>
      <w:r>
        <w:rPr>
          <w:u w:val="single"/>
        </w:rPr>
        <w:t xml:space="preserve">IT systems </w:t>
      </w:r>
    </w:p>
    <w:p w14:paraId="7CDB142C" w14:textId="77777777" w:rsidR="00011647" w:rsidRDefault="00011647" w:rsidP="00011647">
      <w:pPr>
        <w:pStyle w:val="ListParagraph"/>
        <w:ind w:left="360"/>
        <w:rPr>
          <w:u w:val="single"/>
        </w:rPr>
      </w:pPr>
    </w:p>
    <w:p w14:paraId="7BA1CAA6" w14:textId="77777777" w:rsidR="00CE2CC2" w:rsidRPr="00011647" w:rsidRDefault="00011647" w:rsidP="00011647">
      <w:pPr>
        <w:rPr>
          <w:u w:val="single"/>
        </w:rPr>
      </w:pPr>
      <w:r>
        <w:t xml:space="preserve">The IT </w:t>
      </w:r>
      <w:r w:rsidRPr="00D53C04">
        <w:t>integration stream will focus on</w:t>
      </w:r>
      <w:r>
        <w:t>:</w:t>
      </w:r>
    </w:p>
    <w:p w14:paraId="08E84D73" w14:textId="77777777" w:rsidR="00B276E8" w:rsidRDefault="00011647" w:rsidP="00B276E8">
      <w:pPr>
        <w:pStyle w:val="ListParagraph"/>
        <w:numPr>
          <w:ilvl w:val="0"/>
          <w:numId w:val="19"/>
        </w:numPr>
        <w:ind w:left="360"/>
      </w:pPr>
      <w:r>
        <w:t>t</w:t>
      </w:r>
      <w:r w:rsidR="00CE2CC2">
        <w:t xml:space="preserve">he </w:t>
      </w:r>
      <w:r w:rsidR="00B276E8">
        <w:t xml:space="preserve">FirstRand </w:t>
      </w:r>
      <w:r w:rsidR="00CE2CC2">
        <w:t xml:space="preserve">group </w:t>
      </w:r>
      <w:r w:rsidR="00B276E8">
        <w:t xml:space="preserve">intends ultimately to operate the combined business by leveraging the GHL Bank system (T24) which will result in longer terms cost synergies, but investment will be required initially to enable the required CCIB functionality on T24, and to improve GHL Bank network security, application management, disaster recovery and access controls to meet FirstRand </w:t>
      </w:r>
      <w:r w:rsidR="00CE2CC2">
        <w:t xml:space="preserve">group </w:t>
      </w:r>
      <w:r w:rsidR="00B276E8">
        <w:t>standards. The FNB Ghana business will be migrated off Hogan and the integration team will spend significant effort in integrating the businesses to extract potential cost and revenue synergies</w:t>
      </w:r>
      <w:r>
        <w:t>; and</w:t>
      </w:r>
    </w:p>
    <w:p w14:paraId="52EFF417" w14:textId="77777777" w:rsidR="00B276E8" w:rsidRDefault="00011647" w:rsidP="00B276E8">
      <w:pPr>
        <w:pStyle w:val="ListParagraph"/>
        <w:numPr>
          <w:ilvl w:val="0"/>
          <w:numId w:val="19"/>
        </w:numPr>
        <w:ind w:left="360"/>
      </w:pPr>
      <w:r>
        <w:t>a</w:t>
      </w:r>
      <w:r w:rsidR="00B276E8" w:rsidRPr="0099407D">
        <w:t xml:space="preserve">n additional benefit of utilising GHL’s systems is that the same core banking </w:t>
      </w:r>
      <w:r w:rsidR="00B276E8">
        <w:t>system is used by eight</w:t>
      </w:r>
      <w:r w:rsidR="00B276E8" w:rsidRPr="0099407D">
        <w:t xml:space="preserve"> other Ghanaian banks. When development is required to comply with changing Ghanaian regulations, this can be accommodated expeditiously</w:t>
      </w:r>
      <w:r w:rsidR="00B276E8">
        <w:t xml:space="preserve"> through implementation partners</w:t>
      </w:r>
      <w:r w:rsidR="00B276E8" w:rsidRPr="0099407D">
        <w:t xml:space="preserve">, and </w:t>
      </w:r>
      <w:r w:rsidR="00CE2CC2">
        <w:t>FirstRand’s</w:t>
      </w:r>
      <w:r w:rsidR="00B276E8" w:rsidRPr="0099407D">
        <w:t xml:space="preserve"> IT capacity will not </w:t>
      </w:r>
      <w:r w:rsidR="00B276E8">
        <w:t xml:space="preserve">be </w:t>
      </w:r>
      <w:r w:rsidR="00B276E8" w:rsidRPr="0099407D">
        <w:t>affected.</w:t>
      </w:r>
    </w:p>
    <w:p w14:paraId="5A7402DA" w14:textId="77777777" w:rsidR="00B276E8" w:rsidRDefault="00B276E8" w:rsidP="00B276E8">
      <w:r w:rsidDel="00B54A29">
        <w:rPr>
          <w:u w:val="single"/>
        </w:rPr>
        <w:t xml:space="preserve"> </w:t>
      </w:r>
    </w:p>
    <w:p w14:paraId="2F9E3FA3" w14:textId="77777777" w:rsidR="00B276E8" w:rsidRDefault="00B276E8" w:rsidP="00B276E8">
      <w:pPr>
        <w:pStyle w:val="ListParagraph"/>
        <w:numPr>
          <w:ilvl w:val="1"/>
          <w:numId w:val="3"/>
        </w:numPr>
        <w:rPr>
          <w:u w:val="single"/>
        </w:rPr>
      </w:pPr>
      <w:r>
        <w:rPr>
          <w:u w:val="single"/>
        </w:rPr>
        <w:t xml:space="preserve">HR and staff </w:t>
      </w:r>
      <w:r w:rsidRPr="00EC2C4B">
        <w:rPr>
          <w:u w:val="single"/>
        </w:rPr>
        <w:t>communications</w:t>
      </w:r>
      <w:r>
        <w:rPr>
          <w:u w:val="single"/>
        </w:rPr>
        <w:t xml:space="preserve"> </w:t>
      </w:r>
    </w:p>
    <w:p w14:paraId="64FC0CE8" w14:textId="77777777" w:rsidR="00CE2CC2" w:rsidRDefault="00CE2CC2" w:rsidP="00011647">
      <w:pPr>
        <w:rPr>
          <w:u w:val="single"/>
        </w:rPr>
      </w:pPr>
    </w:p>
    <w:p w14:paraId="3487FF11" w14:textId="77777777" w:rsidR="00011647" w:rsidRPr="00011647" w:rsidRDefault="00011647" w:rsidP="00011647">
      <w:pPr>
        <w:rPr>
          <w:u w:val="single"/>
        </w:rPr>
      </w:pPr>
      <w:r>
        <w:t>This</w:t>
      </w:r>
      <w:r w:rsidRPr="00D53C04">
        <w:t xml:space="preserve"> integration stream will focus on</w:t>
      </w:r>
      <w:r>
        <w:t>:</w:t>
      </w:r>
    </w:p>
    <w:p w14:paraId="60510065" w14:textId="77777777" w:rsidR="00B276E8" w:rsidRDefault="00011647" w:rsidP="00B276E8">
      <w:pPr>
        <w:pStyle w:val="ListParagraph"/>
        <w:numPr>
          <w:ilvl w:val="0"/>
          <w:numId w:val="18"/>
        </w:numPr>
        <w:ind w:left="360"/>
      </w:pPr>
      <w:r>
        <w:t>t</w:t>
      </w:r>
      <w:r w:rsidR="00B276E8">
        <w:t xml:space="preserve">he FirstRand group recognises that the current GHL Bank management team and employees have a deep understanding of the mortgage lending business environment within which GHL Bank operates and have garnered industry-wide respect and recognition. Given this track record, and given the FirstRand </w:t>
      </w:r>
      <w:r w:rsidR="00CE2CC2">
        <w:t>g</w:t>
      </w:r>
      <w:r w:rsidR="00B276E8">
        <w:t>roup's philosophy of empowering management teams, it is of key importance to retain and appropriately incentivise the founders of GHL Bank and ensure that they are enabled to add maximum value in the merged group</w:t>
      </w:r>
      <w:r>
        <w:t xml:space="preserve">; </w:t>
      </w:r>
    </w:p>
    <w:p w14:paraId="1E891F00" w14:textId="77777777" w:rsidR="00B276E8" w:rsidRDefault="00011647" w:rsidP="00B276E8">
      <w:pPr>
        <w:pStyle w:val="ListParagraph"/>
        <w:numPr>
          <w:ilvl w:val="0"/>
          <w:numId w:val="18"/>
        </w:numPr>
        <w:ind w:left="360"/>
      </w:pPr>
      <w:r>
        <w:t>t</w:t>
      </w:r>
      <w:r w:rsidR="00CE2CC2">
        <w:t xml:space="preserve">he </w:t>
      </w:r>
      <w:r w:rsidR="00B276E8">
        <w:t xml:space="preserve">FirstRand </w:t>
      </w:r>
      <w:r w:rsidR="00CE2CC2">
        <w:t xml:space="preserve">group </w:t>
      </w:r>
      <w:r w:rsidR="00B276E8">
        <w:t xml:space="preserve">has indicated to the sellers that the acquisition will not be attractive to </w:t>
      </w:r>
      <w:r w:rsidR="00CE2CC2">
        <w:t xml:space="preserve">the </w:t>
      </w:r>
      <w:r w:rsidR="00B276E8">
        <w:t>FirstRand</w:t>
      </w:r>
      <w:r w:rsidR="00CE2CC2">
        <w:t xml:space="preserve"> group</w:t>
      </w:r>
      <w:r w:rsidR="00B276E8">
        <w:t xml:space="preserve"> without the full support of the GHL Bank management team and initial analysis has shown that there is a minimal overlap of staff functions. Where there is an overlap of resources for specific roles, a transparent interview, assessment and appointment process will ensure fairness to the staff of both GHL Bank and FNB Ghana</w:t>
      </w:r>
      <w:r>
        <w:t>;</w:t>
      </w:r>
    </w:p>
    <w:p w14:paraId="0D770397" w14:textId="77777777" w:rsidR="00B276E8" w:rsidRDefault="00011647" w:rsidP="00702A3E">
      <w:pPr>
        <w:pStyle w:val="ListParagraph"/>
        <w:numPr>
          <w:ilvl w:val="0"/>
          <w:numId w:val="18"/>
        </w:numPr>
        <w:ind w:left="360"/>
      </w:pPr>
      <w:r>
        <w:t>d</w:t>
      </w:r>
      <w:r w:rsidR="00B276E8">
        <w:t>ifferences in corporate culture will be analysed and understood, and careful change management applied to encourage adoption of the FirstRand Promises (cultural principles) across the combined entity</w:t>
      </w:r>
      <w:r>
        <w:t>;</w:t>
      </w:r>
    </w:p>
    <w:p w14:paraId="29D1815D" w14:textId="77777777" w:rsidR="00B276E8" w:rsidRDefault="00011647" w:rsidP="00702A3E">
      <w:pPr>
        <w:pStyle w:val="ListParagraph"/>
        <w:numPr>
          <w:ilvl w:val="0"/>
          <w:numId w:val="18"/>
        </w:numPr>
        <w:ind w:left="360"/>
      </w:pPr>
      <w:r>
        <w:t>t</w:t>
      </w:r>
      <w:r w:rsidR="00CE2CC2">
        <w:t xml:space="preserve">he </w:t>
      </w:r>
      <w:r w:rsidR="00B276E8">
        <w:t xml:space="preserve">FirstRand </w:t>
      </w:r>
      <w:r w:rsidR="00CE2CC2">
        <w:t xml:space="preserve">group </w:t>
      </w:r>
      <w:r w:rsidR="00B276E8">
        <w:t>will continue to ensure strong financial and risk discipline and capacity in the combined business</w:t>
      </w:r>
      <w:r>
        <w:t>;</w:t>
      </w:r>
    </w:p>
    <w:p w14:paraId="655C8787" w14:textId="77777777" w:rsidR="00B276E8" w:rsidRDefault="00011647" w:rsidP="00702A3E">
      <w:pPr>
        <w:pStyle w:val="ListParagraph"/>
        <w:numPr>
          <w:ilvl w:val="0"/>
          <w:numId w:val="18"/>
        </w:numPr>
        <w:ind w:left="360"/>
      </w:pPr>
      <w:r>
        <w:t>c</w:t>
      </w:r>
      <w:r w:rsidR="00B276E8">
        <w:t>lear and transparent communication to staff will be key throughout the integration process</w:t>
      </w:r>
      <w:r>
        <w:t>; and</w:t>
      </w:r>
    </w:p>
    <w:p w14:paraId="29C82F78" w14:textId="77777777" w:rsidR="00B276E8" w:rsidRDefault="00011647" w:rsidP="00B276E8">
      <w:pPr>
        <w:pStyle w:val="ListParagraph"/>
        <w:numPr>
          <w:ilvl w:val="0"/>
          <w:numId w:val="18"/>
        </w:numPr>
        <w:ind w:left="360"/>
      </w:pPr>
      <w:r>
        <w:t>a</w:t>
      </w:r>
      <w:r w:rsidR="00B276E8">
        <w:t>ny staff displacements will need to be managed in accordance with the Labour Act, 2003 (Act 651).</w:t>
      </w:r>
    </w:p>
    <w:p w14:paraId="7FD1D7DF" w14:textId="77777777" w:rsidR="00B276E8" w:rsidRDefault="00B276E8" w:rsidP="00B276E8"/>
    <w:p w14:paraId="30537894" w14:textId="77777777" w:rsidR="00B276E8" w:rsidRDefault="00B276E8" w:rsidP="00B276E8">
      <w:pPr>
        <w:pStyle w:val="ListParagraph"/>
        <w:numPr>
          <w:ilvl w:val="1"/>
          <w:numId w:val="3"/>
        </w:numPr>
        <w:rPr>
          <w:u w:val="single"/>
        </w:rPr>
      </w:pPr>
      <w:r w:rsidRPr="00FC3E29">
        <w:rPr>
          <w:u w:val="single"/>
        </w:rPr>
        <w:t>Operations and premises</w:t>
      </w:r>
      <w:r>
        <w:rPr>
          <w:u w:val="single"/>
        </w:rPr>
        <w:t xml:space="preserve"> </w:t>
      </w:r>
    </w:p>
    <w:p w14:paraId="0D459545" w14:textId="77777777" w:rsidR="00B276E8" w:rsidRDefault="00B276E8" w:rsidP="00B276E8">
      <w:pPr>
        <w:rPr>
          <w:u w:val="single"/>
        </w:rPr>
      </w:pPr>
    </w:p>
    <w:p w14:paraId="417C20D4" w14:textId="77777777" w:rsidR="00011647" w:rsidRPr="009D35BC" w:rsidRDefault="00011647" w:rsidP="00011647">
      <w:pPr>
        <w:rPr>
          <w:u w:val="single"/>
        </w:rPr>
      </w:pPr>
      <w:r>
        <w:t>This</w:t>
      </w:r>
      <w:r w:rsidRPr="00D53C04">
        <w:t xml:space="preserve"> integration stream will focus on</w:t>
      </w:r>
      <w:r>
        <w:t>:</w:t>
      </w:r>
    </w:p>
    <w:p w14:paraId="520437A9" w14:textId="77777777" w:rsidR="00B276E8" w:rsidRPr="008B4EAA" w:rsidRDefault="00011647" w:rsidP="00B276E8">
      <w:pPr>
        <w:pStyle w:val="ListParagraph"/>
        <w:numPr>
          <w:ilvl w:val="0"/>
          <w:numId w:val="17"/>
        </w:numPr>
      </w:pPr>
      <w:r>
        <w:t>b</w:t>
      </w:r>
      <w:r w:rsidR="00B276E8" w:rsidRPr="008B4EAA">
        <w:t xml:space="preserve">usiness </w:t>
      </w:r>
      <w:r w:rsidR="00CE2CC2">
        <w:t>p</w:t>
      </w:r>
      <w:r w:rsidR="00B276E8" w:rsidRPr="008B4EAA">
        <w:t>rocesses will be assessed, analysed and compared, and an aligned, “best of both” set of processe</w:t>
      </w:r>
      <w:r w:rsidR="00B276E8">
        <w:t>s</w:t>
      </w:r>
      <w:r w:rsidR="00B276E8" w:rsidRPr="008B4EAA">
        <w:t xml:space="preserve"> adopted for the combined entity</w:t>
      </w:r>
      <w:r>
        <w:t>; and</w:t>
      </w:r>
    </w:p>
    <w:p w14:paraId="06D835A6" w14:textId="77777777" w:rsidR="00B276E8" w:rsidRPr="008B4EAA" w:rsidRDefault="00011647" w:rsidP="00B276E8">
      <w:pPr>
        <w:pStyle w:val="ListParagraph"/>
        <w:numPr>
          <w:ilvl w:val="0"/>
          <w:numId w:val="17"/>
        </w:numPr>
      </w:pPr>
      <w:r>
        <w:lastRenderedPageBreak/>
        <w:t>p</w:t>
      </w:r>
      <w:r w:rsidR="00B276E8" w:rsidRPr="008B4EAA">
        <w:t xml:space="preserve">remises and </w:t>
      </w:r>
      <w:r w:rsidR="00CE2CC2">
        <w:t>l</w:t>
      </w:r>
      <w:r w:rsidR="00B276E8" w:rsidRPr="008B4EAA">
        <w:t>eases will be analysed and optimised. It is expected that savings in rental costs will be realised through the consolidation</w:t>
      </w:r>
      <w:r w:rsidR="00CE2CC2">
        <w:t>.</w:t>
      </w:r>
    </w:p>
    <w:p w14:paraId="2F8EE052" w14:textId="77777777" w:rsidR="00B276E8" w:rsidRDefault="00B276E8" w:rsidP="00B276E8">
      <w:pPr>
        <w:pStyle w:val="ListParagraph"/>
        <w:ind w:left="360"/>
      </w:pPr>
    </w:p>
    <w:p w14:paraId="17407A6A" w14:textId="77777777" w:rsidR="00B276E8" w:rsidRPr="00A04753" w:rsidRDefault="00B276E8" w:rsidP="00B276E8">
      <w:pPr>
        <w:pStyle w:val="ListParagraph"/>
        <w:numPr>
          <w:ilvl w:val="1"/>
          <w:numId w:val="3"/>
        </w:numPr>
        <w:rPr>
          <w:u w:val="single"/>
        </w:rPr>
      </w:pPr>
      <w:r w:rsidRPr="00A04753">
        <w:rPr>
          <w:u w:val="single"/>
        </w:rPr>
        <w:t xml:space="preserve">Retail, Brand and client communications </w:t>
      </w:r>
    </w:p>
    <w:p w14:paraId="1FA4F912" w14:textId="77777777" w:rsidR="00B276E8" w:rsidRDefault="00B276E8" w:rsidP="009D35BC">
      <w:pPr>
        <w:rPr>
          <w:u w:val="single"/>
        </w:rPr>
      </w:pPr>
    </w:p>
    <w:p w14:paraId="16F3E2BC" w14:textId="77777777" w:rsidR="009D35BC" w:rsidRPr="009D35BC" w:rsidRDefault="009D35BC" w:rsidP="009D35BC">
      <w:pPr>
        <w:rPr>
          <w:u w:val="single"/>
        </w:rPr>
      </w:pPr>
      <w:r>
        <w:t>This</w:t>
      </w:r>
      <w:r w:rsidRPr="00D53C04">
        <w:t xml:space="preserve"> integration stream will focus on</w:t>
      </w:r>
      <w:r>
        <w:t>:</w:t>
      </w:r>
    </w:p>
    <w:p w14:paraId="254E0CCE" w14:textId="77777777" w:rsidR="00B276E8" w:rsidRPr="008B4EAA" w:rsidRDefault="009D35BC" w:rsidP="00B276E8">
      <w:pPr>
        <w:pStyle w:val="ListParagraph"/>
        <w:numPr>
          <w:ilvl w:val="0"/>
          <w:numId w:val="20"/>
        </w:numPr>
      </w:pPr>
      <w:r>
        <w:t>c</w:t>
      </w:r>
      <w:r w:rsidR="00B276E8" w:rsidRPr="008B4EAA">
        <w:t xml:space="preserve">lient </w:t>
      </w:r>
      <w:r w:rsidR="00CE2CC2">
        <w:t>v</w:t>
      </w:r>
      <w:r w:rsidR="00B276E8" w:rsidRPr="008B4EAA">
        <w:t xml:space="preserve">alue </w:t>
      </w:r>
      <w:r w:rsidR="00CE2CC2">
        <w:t>p</w:t>
      </w:r>
      <w:r w:rsidR="00B276E8" w:rsidRPr="008B4EAA">
        <w:t xml:space="preserve">ropositions, </w:t>
      </w:r>
      <w:r w:rsidR="00CE2CC2">
        <w:t>p</w:t>
      </w:r>
      <w:r w:rsidR="00B276E8" w:rsidRPr="008B4EAA">
        <w:t xml:space="preserve">roducts, </w:t>
      </w:r>
      <w:r w:rsidR="00CE2CC2">
        <w:t>c</w:t>
      </w:r>
      <w:r w:rsidR="00B276E8" w:rsidRPr="008B4EAA">
        <w:t xml:space="preserve">hannels and </w:t>
      </w:r>
      <w:r w:rsidR="00CE2CC2">
        <w:t>s</w:t>
      </w:r>
      <w:r w:rsidR="00B276E8" w:rsidRPr="008B4EAA">
        <w:t>ervices will be analysed, overlaps understood and a revised, combined set of products relaunched to clients over time</w:t>
      </w:r>
      <w:r>
        <w:t>;</w:t>
      </w:r>
    </w:p>
    <w:p w14:paraId="3E4E11C1" w14:textId="30CF21AF" w:rsidR="00B276E8" w:rsidRPr="008B4EAA" w:rsidRDefault="004936F1" w:rsidP="00B276E8">
      <w:pPr>
        <w:pStyle w:val="ListParagraph"/>
        <w:numPr>
          <w:ilvl w:val="0"/>
          <w:numId w:val="20"/>
        </w:numPr>
      </w:pPr>
      <w:r>
        <w:t>a</w:t>
      </w:r>
      <w:r w:rsidRPr="008B4EAA">
        <w:t>nalysis</w:t>
      </w:r>
      <w:r w:rsidR="00B276E8" w:rsidRPr="008B4EAA">
        <w:t xml:space="preserve"> of both the GHL Bank and </w:t>
      </w:r>
      <w:r w:rsidR="00CE2CC2">
        <w:t>FNB</w:t>
      </w:r>
      <w:r w:rsidR="00B276E8" w:rsidRPr="008B4EAA">
        <w:t xml:space="preserve"> Ghana brands will be undertaken, client views sought, and a future brand strategy for the combined entity determined</w:t>
      </w:r>
      <w:r w:rsidR="009D35BC">
        <w:t>; and</w:t>
      </w:r>
    </w:p>
    <w:p w14:paraId="540BE790" w14:textId="77777777" w:rsidR="00B276E8" w:rsidRPr="008B4EAA" w:rsidRDefault="009D35BC" w:rsidP="00B276E8">
      <w:pPr>
        <w:pStyle w:val="ListParagraph"/>
        <w:numPr>
          <w:ilvl w:val="0"/>
          <w:numId w:val="20"/>
        </w:numPr>
      </w:pPr>
      <w:r>
        <w:t>c</w:t>
      </w:r>
      <w:r w:rsidR="00B276E8" w:rsidRPr="008B4EAA">
        <w:t>lear and transparent communication to clients will be key throughout the integration process.</w:t>
      </w:r>
    </w:p>
    <w:p w14:paraId="67BF5FF8" w14:textId="77777777" w:rsidR="00B276E8" w:rsidRDefault="00B276E8" w:rsidP="00B276E8"/>
    <w:p w14:paraId="33D19312" w14:textId="77777777" w:rsidR="00B276E8" w:rsidRDefault="00B276E8" w:rsidP="00B276E8">
      <w:pPr>
        <w:pStyle w:val="ListParagraph"/>
        <w:numPr>
          <w:ilvl w:val="1"/>
          <w:numId w:val="3"/>
        </w:numPr>
        <w:rPr>
          <w:u w:val="single"/>
        </w:rPr>
      </w:pPr>
      <w:r w:rsidRPr="00B12BD8">
        <w:rPr>
          <w:u w:val="single"/>
        </w:rPr>
        <w:t>Credit</w:t>
      </w:r>
      <w:r>
        <w:rPr>
          <w:u w:val="single"/>
        </w:rPr>
        <w:t xml:space="preserve"> </w:t>
      </w:r>
    </w:p>
    <w:p w14:paraId="0A03FB8D" w14:textId="77777777" w:rsidR="00B276E8" w:rsidRDefault="00B276E8" w:rsidP="009D35BC">
      <w:pPr>
        <w:rPr>
          <w:u w:val="single"/>
        </w:rPr>
      </w:pPr>
    </w:p>
    <w:p w14:paraId="55D5F3D0" w14:textId="77777777" w:rsidR="009D35BC" w:rsidRPr="009D35BC" w:rsidRDefault="009D35BC" w:rsidP="009D35BC">
      <w:pPr>
        <w:rPr>
          <w:u w:val="single"/>
        </w:rPr>
      </w:pPr>
      <w:r>
        <w:t>The credit</w:t>
      </w:r>
      <w:r w:rsidRPr="00D53C04">
        <w:t xml:space="preserve"> integration stream will focus on</w:t>
      </w:r>
      <w:r>
        <w:t>:</w:t>
      </w:r>
    </w:p>
    <w:p w14:paraId="0BF7571F" w14:textId="77777777" w:rsidR="00B276E8" w:rsidRPr="008B4EAA" w:rsidRDefault="009D35BC" w:rsidP="00B276E8">
      <w:pPr>
        <w:pStyle w:val="ListParagraph"/>
        <w:numPr>
          <w:ilvl w:val="0"/>
          <w:numId w:val="21"/>
        </w:numPr>
      </w:pPr>
      <w:r>
        <w:t>a</w:t>
      </w:r>
      <w:r w:rsidR="00B276E8" w:rsidRPr="008B4EAA">
        <w:t xml:space="preserve">ll aspects of credit policy, pricing, practice and procedures will be analysed and compared between the two entities, and a revised consolidated set of policies and practices will be implemented that fall within </w:t>
      </w:r>
      <w:r w:rsidR="00CE2CC2">
        <w:t xml:space="preserve">the </w:t>
      </w:r>
      <w:r w:rsidR="00B276E8" w:rsidRPr="008B4EAA">
        <w:t xml:space="preserve">FirstRand </w:t>
      </w:r>
      <w:r w:rsidR="00CE2CC2">
        <w:t>g</w:t>
      </w:r>
      <w:r w:rsidR="00B276E8" w:rsidRPr="008B4EAA">
        <w:t xml:space="preserve">roup </w:t>
      </w:r>
      <w:r w:rsidR="00CE2CC2">
        <w:t>c</w:t>
      </w:r>
      <w:r w:rsidR="00B276E8" w:rsidRPr="008B4EAA">
        <w:t xml:space="preserve">redit </w:t>
      </w:r>
      <w:r w:rsidR="00CE2CC2">
        <w:t>r</w:t>
      </w:r>
      <w:r w:rsidR="00B276E8" w:rsidRPr="008B4EAA">
        <w:t xml:space="preserve">isk </w:t>
      </w:r>
      <w:r w:rsidR="00CE2CC2">
        <w:t>a</w:t>
      </w:r>
      <w:r w:rsidR="00B276E8" w:rsidRPr="008B4EAA">
        <w:t>ppetite</w:t>
      </w:r>
      <w:r w:rsidR="00B276E8">
        <w:t xml:space="preserve">, </w:t>
      </w:r>
      <w:r w:rsidR="00CE2CC2">
        <w:t>c</w:t>
      </w:r>
      <w:r w:rsidR="00B276E8" w:rsidRPr="008B4EAA">
        <w:t xml:space="preserve">redit </w:t>
      </w:r>
      <w:r w:rsidR="00CE2CC2">
        <w:t>p</w:t>
      </w:r>
      <w:r w:rsidR="00B276E8" w:rsidRPr="008B4EAA">
        <w:t xml:space="preserve">olicy </w:t>
      </w:r>
      <w:r w:rsidR="00CE2CC2">
        <w:t>f</w:t>
      </w:r>
      <w:r w:rsidR="00B276E8" w:rsidRPr="008B4EAA">
        <w:t>ramework</w:t>
      </w:r>
      <w:r w:rsidR="00B276E8">
        <w:t xml:space="preserve"> and </w:t>
      </w:r>
      <w:r w:rsidR="00CE2CC2">
        <w:t>p</w:t>
      </w:r>
      <w:r w:rsidR="00B276E8">
        <w:t xml:space="preserve">erformance </w:t>
      </w:r>
      <w:r w:rsidR="00CE2CC2">
        <w:t>m</w:t>
      </w:r>
      <w:r w:rsidR="00B276E8">
        <w:t xml:space="preserve">easurement </w:t>
      </w:r>
      <w:r w:rsidR="00CE2CC2">
        <w:t>f</w:t>
      </w:r>
      <w:r w:rsidR="00B276E8">
        <w:t>ramework</w:t>
      </w:r>
      <w:r>
        <w:t>;</w:t>
      </w:r>
    </w:p>
    <w:p w14:paraId="2AD5EA99" w14:textId="77777777" w:rsidR="00B276E8" w:rsidRDefault="009D35BC" w:rsidP="00B276E8">
      <w:pPr>
        <w:pStyle w:val="ListParagraph"/>
        <w:numPr>
          <w:ilvl w:val="0"/>
          <w:numId w:val="21"/>
        </w:numPr>
      </w:pPr>
      <w:r>
        <w:t>a</w:t>
      </w:r>
      <w:r w:rsidR="00B276E8" w:rsidRPr="008B4EAA">
        <w:t xml:space="preserve"> full review of credit processes across the full credit lifecycle will be undertaken, and an aligned best of breed set of processes applied to the combined entity</w:t>
      </w:r>
      <w:r>
        <w:t>; and</w:t>
      </w:r>
    </w:p>
    <w:p w14:paraId="6B95BB1B" w14:textId="19285E18" w:rsidR="00B276E8" w:rsidRPr="008B4EAA" w:rsidRDefault="009D35BC" w:rsidP="00B276E8">
      <w:pPr>
        <w:pStyle w:val="ListParagraph"/>
        <w:numPr>
          <w:ilvl w:val="0"/>
          <w:numId w:val="21"/>
        </w:numPr>
      </w:pPr>
      <w:r>
        <w:t>p</w:t>
      </w:r>
      <w:r w:rsidR="00B276E8" w:rsidRPr="008B4EAA">
        <w:t xml:space="preserve">rovision calculations and related regulatory reporting to be compared between the two </w:t>
      </w:r>
      <w:r w:rsidR="00EC5EB3" w:rsidRPr="008B4EAA">
        <w:t>entities and</w:t>
      </w:r>
      <w:r w:rsidR="00B276E8" w:rsidRPr="008B4EAA">
        <w:t xml:space="preserve"> reviewed against IFRS 9 principle</w:t>
      </w:r>
      <w:r w:rsidR="00B276E8">
        <w:t>s.</w:t>
      </w:r>
    </w:p>
    <w:p w14:paraId="6A37FE9B" w14:textId="77777777" w:rsidR="00B276E8" w:rsidRDefault="00B276E8" w:rsidP="00B276E8">
      <w:pPr>
        <w:pStyle w:val="ListParagraph"/>
        <w:ind w:left="360"/>
      </w:pPr>
    </w:p>
    <w:p w14:paraId="012F6DA2" w14:textId="77777777" w:rsidR="00B276E8" w:rsidRDefault="00B276E8" w:rsidP="00B276E8">
      <w:pPr>
        <w:pStyle w:val="ListParagraph"/>
        <w:numPr>
          <w:ilvl w:val="1"/>
          <w:numId w:val="3"/>
        </w:numPr>
        <w:rPr>
          <w:u w:val="single"/>
        </w:rPr>
      </w:pPr>
      <w:r w:rsidRPr="00B12BD8">
        <w:rPr>
          <w:u w:val="single"/>
        </w:rPr>
        <w:t>Finance</w:t>
      </w:r>
      <w:r>
        <w:rPr>
          <w:u w:val="single"/>
        </w:rPr>
        <w:t xml:space="preserve"> </w:t>
      </w:r>
    </w:p>
    <w:p w14:paraId="138D93DB" w14:textId="77777777" w:rsidR="009D35BC" w:rsidRDefault="009D35BC" w:rsidP="009D35BC">
      <w:pPr>
        <w:pStyle w:val="ListParagraph"/>
        <w:ind w:left="360"/>
        <w:rPr>
          <w:u w:val="single"/>
        </w:rPr>
      </w:pPr>
    </w:p>
    <w:p w14:paraId="396DEE49" w14:textId="23BE3E2E" w:rsidR="00B276E8" w:rsidRPr="008B4EAA" w:rsidRDefault="009D35BC" w:rsidP="00B276E8">
      <w:r w:rsidRPr="00D53C04">
        <w:t xml:space="preserve">The </w:t>
      </w:r>
      <w:r w:rsidR="00A72263">
        <w:t>finance</w:t>
      </w:r>
      <w:r w:rsidRPr="00D53C04">
        <w:t xml:space="preserve"> integration stream will focus on</w:t>
      </w:r>
      <w:r>
        <w:t>:</w:t>
      </w:r>
    </w:p>
    <w:p w14:paraId="495B2E90" w14:textId="77777777" w:rsidR="00B276E8" w:rsidRDefault="009D35BC" w:rsidP="00B276E8">
      <w:pPr>
        <w:pStyle w:val="ListParagraph"/>
        <w:numPr>
          <w:ilvl w:val="0"/>
          <w:numId w:val="22"/>
        </w:numPr>
      </w:pPr>
      <w:r>
        <w:t>f</w:t>
      </w:r>
      <w:r w:rsidR="00B276E8">
        <w:t xml:space="preserve">inalise interim period (until systems integration is finalised) and proposed final team structures (following integration) </w:t>
      </w:r>
      <w:r w:rsidR="00CE2CC2">
        <w:t xml:space="preserve">and </w:t>
      </w:r>
      <w:r w:rsidR="00B276E8">
        <w:t>in conjunction with HR</w:t>
      </w:r>
      <w:r>
        <w:t>;</w:t>
      </w:r>
    </w:p>
    <w:p w14:paraId="4A1629C5" w14:textId="77777777" w:rsidR="00B276E8" w:rsidRPr="0017737B" w:rsidRDefault="009D35BC" w:rsidP="00B276E8">
      <w:pPr>
        <w:pStyle w:val="ListParagraph"/>
        <w:numPr>
          <w:ilvl w:val="0"/>
          <w:numId w:val="22"/>
        </w:numPr>
      </w:pPr>
      <w:r>
        <w:t>f</w:t>
      </w:r>
      <w:r w:rsidR="00B276E8" w:rsidRPr="0017737B">
        <w:t>inancial control</w:t>
      </w:r>
      <w:r>
        <w:t>:</w:t>
      </w:r>
    </w:p>
    <w:p w14:paraId="4F4D5424" w14:textId="77777777" w:rsidR="00B276E8" w:rsidRPr="0017737B" w:rsidRDefault="009D35BC" w:rsidP="00B276E8">
      <w:pPr>
        <w:pStyle w:val="ListParagraph"/>
        <w:numPr>
          <w:ilvl w:val="1"/>
          <w:numId w:val="22"/>
        </w:numPr>
      </w:pPr>
      <w:r>
        <w:t>d</w:t>
      </w:r>
      <w:r w:rsidR="00B276E8">
        <w:t xml:space="preserve">eploying all financial related frameworks of </w:t>
      </w:r>
      <w:r w:rsidR="00CE2CC2">
        <w:t xml:space="preserve">the </w:t>
      </w:r>
      <w:r w:rsidR="00B276E8">
        <w:t>FirstRand</w:t>
      </w:r>
      <w:r w:rsidR="00CE2CC2">
        <w:t xml:space="preserve"> group</w:t>
      </w:r>
      <w:r w:rsidR="00B276E8">
        <w:t>, in particular, delegated mandate of authority, revision of signing authority, procurement processes, balance sheet verification, suspense account management</w:t>
      </w:r>
      <w:r>
        <w:t>; and</w:t>
      </w:r>
    </w:p>
    <w:p w14:paraId="64A1C04B" w14:textId="77777777" w:rsidR="00B276E8" w:rsidRDefault="009D35BC" w:rsidP="00B276E8">
      <w:pPr>
        <w:pStyle w:val="ListParagraph"/>
        <w:numPr>
          <w:ilvl w:val="1"/>
          <w:numId w:val="22"/>
        </w:numPr>
      </w:pPr>
      <w:r>
        <w:t>i</w:t>
      </w:r>
      <w:r w:rsidR="00B276E8">
        <w:t>mplement FirstRand’s Account Management Reconciliation Framework (</w:t>
      </w:r>
      <w:r w:rsidR="00CE2CC2">
        <w:t>“</w:t>
      </w:r>
      <w:r w:rsidR="00B276E8">
        <w:t>ARMF</w:t>
      </w:r>
      <w:r w:rsidR="00CE2CC2">
        <w:t>”</w:t>
      </w:r>
      <w:r w:rsidR="00B276E8">
        <w:t>) and balance sheet substantiation steer</w:t>
      </w:r>
      <w:r w:rsidR="00CE2CC2">
        <w:t>ing committees.</w:t>
      </w:r>
    </w:p>
    <w:p w14:paraId="2C5AE792" w14:textId="77777777" w:rsidR="00B276E8" w:rsidRDefault="009D35BC" w:rsidP="00B276E8">
      <w:pPr>
        <w:pStyle w:val="ListParagraph"/>
        <w:numPr>
          <w:ilvl w:val="0"/>
          <w:numId w:val="22"/>
        </w:numPr>
      </w:pPr>
      <w:r>
        <w:t>f</w:t>
      </w:r>
      <w:r w:rsidR="00B276E8">
        <w:t>inancial structure</w:t>
      </w:r>
      <w:r>
        <w:t>:</w:t>
      </w:r>
    </w:p>
    <w:p w14:paraId="36729C37" w14:textId="77777777" w:rsidR="00B276E8" w:rsidRDefault="009D35BC" w:rsidP="00B276E8">
      <w:pPr>
        <w:pStyle w:val="ListParagraph"/>
        <w:numPr>
          <w:ilvl w:val="1"/>
          <w:numId w:val="22"/>
        </w:numPr>
      </w:pPr>
      <w:r>
        <w:t>a</w:t>
      </w:r>
      <w:r w:rsidR="00B276E8">
        <w:t>mend T24 to reflect FirstRand required management structures:</w:t>
      </w:r>
    </w:p>
    <w:p w14:paraId="65DFAB17" w14:textId="77777777" w:rsidR="00B276E8" w:rsidRDefault="00CE2CC2" w:rsidP="00B276E8">
      <w:pPr>
        <w:pStyle w:val="ListParagraph"/>
        <w:numPr>
          <w:ilvl w:val="2"/>
          <w:numId w:val="22"/>
        </w:numPr>
      </w:pPr>
      <w:r>
        <w:t>b</w:t>
      </w:r>
      <w:r w:rsidR="00B276E8">
        <w:t>usiness units (i.e. FCC, CIB, Retail, Commercial, GTSY) (in collaboration with business and systems architecture teams)</w:t>
      </w:r>
      <w:r>
        <w:t>;</w:t>
      </w:r>
      <w:r w:rsidR="00B276E8">
        <w:t xml:space="preserve"> </w:t>
      </w:r>
    </w:p>
    <w:p w14:paraId="50B38BA3" w14:textId="77777777" w:rsidR="00B276E8" w:rsidRDefault="00CE2CC2" w:rsidP="00CE2CC2">
      <w:pPr>
        <w:pStyle w:val="ListParagraph"/>
        <w:numPr>
          <w:ilvl w:val="2"/>
          <w:numId w:val="22"/>
        </w:numPr>
      </w:pPr>
      <w:r>
        <w:t>b</w:t>
      </w:r>
      <w:r w:rsidR="00B276E8">
        <w:t>usiness divisions (i.e. CB)</w:t>
      </w:r>
      <w:r>
        <w:t xml:space="preserve">; and </w:t>
      </w:r>
    </w:p>
    <w:p w14:paraId="1300D6D7" w14:textId="77777777" w:rsidR="00B276E8" w:rsidRPr="0017737B" w:rsidRDefault="00CE2CC2" w:rsidP="00CE2CC2">
      <w:pPr>
        <w:pStyle w:val="ListParagraph"/>
        <w:numPr>
          <w:ilvl w:val="2"/>
          <w:numId w:val="22"/>
        </w:numPr>
      </w:pPr>
      <w:r>
        <w:t>b</w:t>
      </w:r>
      <w:r w:rsidR="00B276E8">
        <w:t>usiness sub-divisions (i.e. TWC)</w:t>
      </w:r>
      <w:r>
        <w:t>.</w:t>
      </w:r>
    </w:p>
    <w:p w14:paraId="223EBBCA" w14:textId="77777777" w:rsidR="00B276E8" w:rsidRDefault="009D35BC" w:rsidP="00B276E8">
      <w:pPr>
        <w:pStyle w:val="ListParagraph"/>
        <w:numPr>
          <w:ilvl w:val="0"/>
          <w:numId w:val="22"/>
        </w:numPr>
      </w:pPr>
      <w:r>
        <w:t>f</w:t>
      </w:r>
      <w:r w:rsidR="00B276E8">
        <w:t>inancial systems</w:t>
      </w:r>
      <w:r>
        <w:t>:</w:t>
      </w:r>
    </w:p>
    <w:p w14:paraId="5BB70B60" w14:textId="77777777" w:rsidR="00B276E8" w:rsidRDefault="009D35BC" w:rsidP="00B276E8">
      <w:pPr>
        <w:pStyle w:val="ListParagraph"/>
        <w:numPr>
          <w:ilvl w:val="1"/>
          <w:numId w:val="22"/>
        </w:numPr>
      </w:pPr>
      <w:r>
        <w:t>i</w:t>
      </w:r>
      <w:r w:rsidR="00B276E8">
        <w:t xml:space="preserve">ntegration of statutory reporting into </w:t>
      </w:r>
      <w:r w:rsidR="00CE2CC2">
        <w:t xml:space="preserve">the </w:t>
      </w:r>
      <w:r w:rsidR="00B276E8">
        <w:t>FirstRand</w:t>
      </w:r>
      <w:r w:rsidR="00CE2CC2">
        <w:t xml:space="preserve"> group’s</w:t>
      </w:r>
      <w:r w:rsidR="00B276E8">
        <w:t xml:space="preserve"> financial reporting and consolidation system (HFM)</w:t>
      </w:r>
      <w:r>
        <w:t>;</w:t>
      </w:r>
    </w:p>
    <w:p w14:paraId="183C374C" w14:textId="77777777" w:rsidR="00B276E8" w:rsidRDefault="009D35BC" w:rsidP="00B276E8">
      <w:pPr>
        <w:pStyle w:val="ListParagraph"/>
        <w:numPr>
          <w:ilvl w:val="1"/>
          <w:numId w:val="22"/>
        </w:numPr>
      </w:pPr>
      <w:r>
        <w:lastRenderedPageBreak/>
        <w:t>i</w:t>
      </w:r>
      <w:r w:rsidR="00B276E8">
        <w:t>ntegration of management reporting into FirstRand systems (Essbase, etc)</w:t>
      </w:r>
      <w:r>
        <w:t>;</w:t>
      </w:r>
    </w:p>
    <w:p w14:paraId="592214C8" w14:textId="77777777" w:rsidR="00B276E8" w:rsidRDefault="009D35BC" w:rsidP="00B276E8">
      <w:pPr>
        <w:pStyle w:val="ListParagraph"/>
        <w:numPr>
          <w:ilvl w:val="1"/>
          <w:numId w:val="22"/>
        </w:numPr>
      </w:pPr>
      <w:r>
        <w:t>i</w:t>
      </w:r>
      <w:r w:rsidR="00B276E8">
        <w:t>ntegration with regulatory interface (BA reporting and MBK reporting)</w:t>
      </w:r>
      <w:r>
        <w:t>; and</w:t>
      </w:r>
    </w:p>
    <w:p w14:paraId="0B842303" w14:textId="77777777" w:rsidR="00B276E8" w:rsidRDefault="009D35BC" w:rsidP="00B276E8">
      <w:pPr>
        <w:pStyle w:val="ListParagraph"/>
        <w:numPr>
          <w:ilvl w:val="1"/>
          <w:numId w:val="22"/>
        </w:numPr>
      </w:pPr>
      <w:r>
        <w:t>d</w:t>
      </w:r>
      <w:r w:rsidR="00B276E8">
        <w:t xml:space="preserve">eployment of </w:t>
      </w:r>
      <w:r w:rsidR="00CE2CC2">
        <w:t>f</w:t>
      </w:r>
      <w:r w:rsidR="00B276E8">
        <w:t xml:space="preserve">unds </w:t>
      </w:r>
      <w:r w:rsidR="00CE2CC2">
        <w:t>t</w:t>
      </w:r>
      <w:r w:rsidR="00B276E8">
        <w:t xml:space="preserve">ransfer </w:t>
      </w:r>
      <w:r w:rsidR="00CE2CC2">
        <w:t>p</w:t>
      </w:r>
      <w:r w:rsidR="00B276E8">
        <w:t xml:space="preserve">ricing methodology </w:t>
      </w:r>
      <w:r w:rsidR="00CE2CC2">
        <w:t>(</w:t>
      </w:r>
      <w:r w:rsidR="00B276E8">
        <w:t xml:space="preserve">in conjunction with </w:t>
      </w:r>
      <w:r>
        <w:t>t</w:t>
      </w:r>
      <w:r w:rsidR="00B276E8">
        <w:t>reasury)</w:t>
      </w:r>
      <w:r w:rsidR="00CE2CC2">
        <w:t>.</w:t>
      </w:r>
    </w:p>
    <w:p w14:paraId="673FE236" w14:textId="77777777" w:rsidR="00B276E8" w:rsidRDefault="00B276E8" w:rsidP="00B276E8">
      <w:pPr>
        <w:pStyle w:val="ListParagraph"/>
        <w:numPr>
          <w:ilvl w:val="0"/>
          <w:numId w:val="22"/>
        </w:numPr>
      </w:pPr>
      <w:r>
        <w:t>Financial reporting</w:t>
      </w:r>
      <w:r w:rsidR="009D35BC">
        <w:t>:</w:t>
      </w:r>
    </w:p>
    <w:p w14:paraId="18D60D55" w14:textId="77777777" w:rsidR="00B276E8" w:rsidRDefault="009D35BC" w:rsidP="00B276E8">
      <w:pPr>
        <w:pStyle w:val="ListParagraph"/>
        <w:numPr>
          <w:ilvl w:val="1"/>
          <w:numId w:val="22"/>
        </w:numPr>
      </w:pPr>
      <w:r>
        <w:t>c</w:t>
      </w:r>
      <w:r w:rsidR="00B276E8">
        <w:t xml:space="preserve">onsolidated financial reporting (in conjunction with </w:t>
      </w:r>
      <w:r w:rsidR="00CE2CC2">
        <w:t>FirstRand</w:t>
      </w:r>
      <w:r w:rsidR="00B276E8">
        <w:t>) (interim and final structure)</w:t>
      </w:r>
      <w:r>
        <w:t>;</w:t>
      </w:r>
    </w:p>
    <w:p w14:paraId="66CA35F1" w14:textId="77777777" w:rsidR="00B276E8" w:rsidRDefault="00B276E8" w:rsidP="00B276E8">
      <w:pPr>
        <w:pStyle w:val="ListParagraph"/>
        <w:numPr>
          <w:ilvl w:val="1"/>
          <w:numId w:val="22"/>
        </w:numPr>
      </w:pPr>
      <w:r>
        <w:t xml:space="preserve">Consolidated management reporting (in conjunction with </w:t>
      </w:r>
      <w:r w:rsidR="00CE2CC2">
        <w:t>FirstRand</w:t>
      </w:r>
      <w:r>
        <w:t>) (interim and final structure)</w:t>
      </w:r>
      <w:r w:rsidR="00CE2CC2">
        <w:t>.</w:t>
      </w:r>
    </w:p>
    <w:p w14:paraId="76844400" w14:textId="77777777" w:rsidR="00B276E8" w:rsidRDefault="00B276E8" w:rsidP="00B276E8">
      <w:pPr>
        <w:pStyle w:val="ListParagraph"/>
        <w:numPr>
          <w:ilvl w:val="1"/>
          <w:numId w:val="22"/>
        </w:numPr>
      </w:pPr>
      <w:r>
        <w:t>Consolidated regulatory reporting (interim build-out of consolidated results - initially from two different systems) to BoG and SARB</w:t>
      </w:r>
      <w:r w:rsidR="00CE2CC2">
        <w:t>.</w:t>
      </w:r>
      <w:r>
        <w:t xml:space="preserve">  </w:t>
      </w:r>
    </w:p>
    <w:p w14:paraId="4B31B1F4" w14:textId="77777777" w:rsidR="00B276E8" w:rsidRDefault="00B276E8" w:rsidP="00B276E8"/>
    <w:p w14:paraId="4C84C484" w14:textId="77777777" w:rsidR="00B276E8" w:rsidRPr="00B276E8" w:rsidRDefault="00B276E8" w:rsidP="00B276E8">
      <w:pPr>
        <w:pStyle w:val="ListParagraph"/>
        <w:numPr>
          <w:ilvl w:val="1"/>
          <w:numId w:val="3"/>
        </w:numPr>
        <w:rPr>
          <w:u w:val="single"/>
        </w:rPr>
      </w:pPr>
      <w:r w:rsidRPr="00B276E8">
        <w:rPr>
          <w:u w:val="single"/>
        </w:rPr>
        <w:t xml:space="preserve">Treasury </w:t>
      </w:r>
    </w:p>
    <w:p w14:paraId="1C73E4DB" w14:textId="77777777" w:rsidR="00CE2CC2" w:rsidRDefault="00CE2CC2" w:rsidP="00CE2CC2"/>
    <w:p w14:paraId="251F646D" w14:textId="77777777" w:rsidR="00B276E8" w:rsidRPr="00D53C04" w:rsidRDefault="00B276E8" w:rsidP="00CE2CC2">
      <w:r w:rsidRPr="00D53C04">
        <w:t xml:space="preserve">The </w:t>
      </w:r>
      <w:r w:rsidR="009D35BC">
        <w:t>t</w:t>
      </w:r>
      <w:r w:rsidRPr="00D53C04">
        <w:t>reasury integration stream will focus on</w:t>
      </w:r>
      <w:r>
        <w:t>:</w:t>
      </w:r>
    </w:p>
    <w:p w14:paraId="405C6C49" w14:textId="77777777" w:rsidR="00B276E8" w:rsidRDefault="00011647" w:rsidP="00B276E8">
      <w:pPr>
        <w:pStyle w:val="ListParagraph"/>
        <w:numPr>
          <w:ilvl w:val="0"/>
          <w:numId w:val="22"/>
        </w:numPr>
        <w:ind w:left="720"/>
      </w:pPr>
      <w:r>
        <w:t>g</w:t>
      </w:r>
      <w:r w:rsidR="00B276E8">
        <w:t>overnance:</w:t>
      </w:r>
    </w:p>
    <w:p w14:paraId="34B2F952" w14:textId="77777777" w:rsidR="00B276E8" w:rsidRDefault="009D35BC" w:rsidP="00B276E8">
      <w:pPr>
        <w:pStyle w:val="ListParagraph"/>
        <w:numPr>
          <w:ilvl w:val="1"/>
          <w:numId w:val="22"/>
        </w:numPr>
        <w:ind w:left="1440"/>
      </w:pPr>
      <w:r>
        <w:t>r</w:t>
      </w:r>
      <w:r w:rsidR="00B276E8">
        <w:t>egulari</w:t>
      </w:r>
      <w:r w:rsidR="00CE2CC2">
        <w:t>s</w:t>
      </w:r>
      <w:r w:rsidR="00B276E8">
        <w:t>ation all prudential requirements</w:t>
      </w:r>
      <w:r>
        <w:t>; and</w:t>
      </w:r>
    </w:p>
    <w:p w14:paraId="51139F98" w14:textId="77777777" w:rsidR="00B276E8" w:rsidRDefault="009D35BC" w:rsidP="00B276E8">
      <w:pPr>
        <w:pStyle w:val="ListParagraph"/>
        <w:numPr>
          <w:ilvl w:val="1"/>
          <w:numId w:val="22"/>
        </w:numPr>
        <w:ind w:left="1440"/>
      </w:pPr>
      <w:r>
        <w:t>a</w:t>
      </w:r>
      <w:r w:rsidR="00B276E8">
        <w:t xml:space="preserve">lignment of </w:t>
      </w:r>
      <w:r w:rsidR="00CE2CC2">
        <w:t>t</w:t>
      </w:r>
      <w:r w:rsidR="00B276E8">
        <w:t xml:space="preserve">reasury management policies and procedures to </w:t>
      </w:r>
      <w:r w:rsidR="00CE2CC2">
        <w:t xml:space="preserve">the </w:t>
      </w:r>
      <w:r w:rsidR="00B276E8">
        <w:t xml:space="preserve">FirstRand </w:t>
      </w:r>
      <w:r w:rsidR="00CE2CC2">
        <w:t>g</w:t>
      </w:r>
      <w:r w:rsidR="00B276E8">
        <w:t>roup standards</w:t>
      </w:r>
      <w:r>
        <w:t>.</w:t>
      </w:r>
    </w:p>
    <w:p w14:paraId="78DE7E21" w14:textId="77777777" w:rsidR="00B276E8" w:rsidRDefault="00011647" w:rsidP="00B276E8">
      <w:pPr>
        <w:pStyle w:val="ListParagraph"/>
        <w:numPr>
          <w:ilvl w:val="0"/>
          <w:numId w:val="22"/>
        </w:numPr>
        <w:ind w:left="720"/>
      </w:pPr>
      <w:r>
        <w:t>f</w:t>
      </w:r>
      <w:r w:rsidR="00B276E8">
        <w:t>nding</w:t>
      </w:r>
      <w:r w:rsidR="009D35BC">
        <w:t>:</w:t>
      </w:r>
    </w:p>
    <w:p w14:paraId="0A99B81F" w14:textId="77777777" w:rsidR="00B276E8" w:rsidRDefault="009D35BC" w:rsidP="00B276E8">
      <w:pPr>
        <w:pStyle w:val="ListParagraph"/>
        <w:numPr>
          <w:ilvl w:val="1"/>
          <w:numId w:val="22"/>
        </w:numPr>
        <w:ind w:left="1440"/>
      </w:pPr>
      <w:r>
        <w:t>r</w:t>
      </w:r>
      <w:r w:rsidR="00B276E8">
        <w:t>estructure of all secured funding to unsecured</w:t>
      </w:r>
      <w:r>
        <w:t>; and</w:t>
      </w:r>
    </w:p>
    <w:p w14:paraId="463921C0" w14:textId="77777777" w:rsidR="00B276E8" w:rsidRDefault="009D35BC" w:rsidP="00B276E8">
      <w:pPr>
        <w:pStyle w:val="ListParagraph"/>
        <w:numPr>
          <w:ilvl w:val="1"/>
          <w:numId w:val="22"/>
        </w:numPr>
        <w:ind w:left="1440"/>
      </w:pPr>
      <w:r>
        <w:t>r</w:t>
      </w:r>
      <w:r w:rsidR="00B276E8">
        <w:t>ecall bond issuances</w:t>
      </w:r>
      <w:r>
        <w:t>.</w:t>
      </w:r>
    </w:p>
    <w:p w14:paraId="18D0AE33" w14:textId="77777777" w:rsidR="00B276E8" w:rsidRDefault="00011647" w:rsidP="00B276E8">
      <w:pPr>
        <w:pStyle w:val="ListParagraph"/>
        <w:numPr>
          <w:ilvl w:val="0"/>
          <w:numId w:val="22"/>
        </w:numPr>
        <w:ind w:left="720"/>
      </w:pPr>
      <w:r>
        <w:t>p</w:t>
      </w:r>
      <w:r w:rsidR="00B276E8">
        <w:t>rocess</w:t>
      </w:r>
      <w:r w:rsidR="009D35BC">
        <w:t>:</w:t>
      </w:r>
    </w:p>
    <w:p w14:paraId="18B7A023" w14:textId="77777777" w:rsidR="00B276E8" w:rsidRDefault="009D35BC" w:rsidP="00B276E8">
      <w:pPr>
        <w:pStyle w:val="ListParagraph"/>
        <w:numPr>
          <w:ilvl w:val="1"/>
          <w:numId w:val="22"/>
        </w:numPr>
        <w:ind w:left="1440"/>
      </w:pPr>
      <w:r>
        <w:t>l</w:t>
      </w:r>
      <w:r w:rsidR="00B276E8">
        <w:t>isting and rationalisation of all bank accounts (combined entity)</w:t>
      </w:r>
      <w:r>
        <w:t>; and</w:t>
      </w:r>
    </w:p>
    <w:p w14:paraId="57872EBD" w14:textId="77777777" w:rsidR="00B276E8" w:rsidRDefault="009D35BC" w:rsidP="00B276E8">
      <w:pPr>
        <w:pStyle w:val="ListParagraph"/>
        <w:numPr>
          <w:ilvl w:val="1"/>
          <w:numId w:val="22"/>
        </w:numPr>
        <w:ind w:left="1440"/>
      </w:pPr>
      <w:r>
        <w:t>r</w:t>
      </w:r>
      <w:r w:rsidR="00B276E8">
        <w:t>ationalisation of accountability on signing responsibility on bank accounts</w:t>
      </w:r>
    </w:p>
    <w:p w14:paraId="7818E232" w14:textId="77777777" w:rsidR="00B276E8" w:rsidRDefault="00011647" w:rsidP="00B276E8">
      <w:pPr>
        <w:pStyle w:val="ListParagraph"/>
        <w:numPr>
          <w:ilvl w:val="0"/>
          <w:numId w:val="22"/>
        </w:numPr>
        <w:ind w:left="720"/>
      </w:pPr>
      <w:r>
        <w:t>p</w:t>
      </w:r>
      <w:r w:rsidR="00B276E8">
        <w:t>latform</w:t>
      </w:r>
      <w:r w:rsidR="009D35BC">
        <w:t>:</w:t>
      </w:r>
    </w:p>
    <w:p w14:paraId="6DAA9AB0" w14:textId="77777777" w:rsidR="00B276E8" w:rsidRDefault="009D35BC" w:rsidP="00B276E8">
      <w:pPr>
        <w:pStyle w:val="ListParagraph"/>
        <w:numPr>
          <w:ilvl w:val="1"/>
          <w:numId w:val="22"/>
        </w:numPr>
        <w:ind w:left="1440"/>
      </w:pPr>
      <w:r>
        <w:t>r</w:t>
      </w:r>
      <w:r w:rsidR="00B276E8">
        <w:t>eview of system against Treasury management requirements</w:t>
      </w:r>
      <w:r>
        <w:t>.</w:t>
      </w:r>
    </w:p>
    <w:p w14:paraId="44FD3BF6" w14:textId="77777777" w:rsidR="00B276E8" w:rsidRDefault="00011647" w:rsidP="00B276E8">
      <w:pPr>
        <w:pStyle w:val="ListParagraph"/>
        <w:numPr>
          <w:ilvl w:val="0"/>
          <w:numId w:val="22"/>
        </w:numPr>
        <w:ind w:left="720"/>
      </w:pPr>
      <w:r>
        <w:t>p</w:t>
      </w:r>
      <w:r w:rsidR="00B276E8">
        <w:t>eople</w:t>
      </w:r>
      <w:r w:rsidR="009D35BC">
        <w:t>:</w:t>
      </w:r>
    </w:p>
    <w:p w14:paraId="41F2271B" w14:textId="77777777" w:rsidR="00B276E8" w:rsidRDefault="009D35BC" w:rsidP="00B276E8">
      <w:pPr>
        <w:pStyle w:val="ListParagraph"/>
        <w:numPr>
          <w:ilvl w:val="1"/>
          <w:numId w:val="22"/>
        </w:numPr>
        <w:ind w:left="1440"/>
      </w:pPr>
      <w:r>
        <w:t>t</w:t>
      </w:r>
      <w:r w:rsidR="00B276E8">
        <w:t>reasury organi</w:t>
      </w:r>
      <w:r w:rsidR="00CE2CC2">
        <w:t>s</w:t>
      </w:r>
      <w:r w:rsidR="00B276E8">
        <w:t>ational design</w:t>
      </w:r>
      <w:r>
        <w:t>; and</w:t>
      </w:r>
    </w:p>
    <w:p w14:paraId="01D30F61" w14:textId="77777777" w:rsidR="00B276E8" w:rsidRDefault="009D35BC" w:rsidP="00B276E8">
      <w:pPr>
        <w:pStyle w:val="ListParagraph"/>
        <w:numPr>
          <w:ilvl w:val="1"/>
          <w:numId w:val="22"/>
        </w:numPr>
        <w:ind w:left="1440"/>
      </w:pPr>
      <w:r>
        <w:t>r</w:t>
      </w:r>
      <w:r w:rsidR="00B276E8">
        <w:t>eview of current people against organizational design requirements</w:t>
      </w:r>
    </w:p>
    <w:p w14:paraId="1901A42E" w14:textId="77777777" w:rsidR="00B276E8" w:rsidRDefault="00B276E8" w:rsidP="00B276E8">
      <w:pPr>
        <w:pStyle w:val="ListParagraph"/>
        <w:ind w:left="360"/>
      </w:pPr>
    </w:p>
    <w:p w14:paraId="6F042511" w14:textId="77777777" w:rsidR="00B276E8" w:rsidRDefault="00B276E8" w:rsidP="00B276E8">
      <w:pPr>
        <w:pStyle w:val="ListParagraph"/>
        <w:numPr>
          <w:ilvl w:val="1"/>
          <w:numId w:val="3"/>
        </w:numPr>
        <w:rPr>
          <w:u w:val="single"/>
        </w:rPr>
      </w:pPr>
      <w:r w:rsidRPr="00B12BD8">
        <w:rPr>
          <w:u w:val="single"/>
        </w:rPr>
        <w:t>Legal</w:t>
      </w:r>
      <w:r>
        <w:rPr>
          <w:u w:val="single"/>
        </w:rPr>
        <w:t xml:space="preserve"> </w:t>
      </w:r>
    </w:p>
    <w:p w14:paraId="0D0F0267" w14:textId="77777777" w:rsidR="00CE2CC2" w:rsidRDefault="00CE2CC2" w:rsidP="00CE2CC2">
      <w:pPr>
        <w:pStyle w:val="ListParagraph"/>
        <w:ind w:left="360"/>
        <w:rPr>
          <w:u w:val="single"/>
        </w:rPr>
      </w:pPr>
    </w:p>
    <w:p w14:paraId="13DBDB66" w14:textId="77777777" w:rsidR="00B276E8" w:rsidRPr="00CE2CC2" w:rsidRDefault="00CE2CC2" w:rsidP="00CE2CC2">
      <w:r w:rsidRPr="00717C2A">
        <w:t xml:space="preserve">The </w:t>
      </w:r>
      <w:r>
        <w:t>legal</w:t>
      </w:r>
      <w:r w:rsidRPr="00717C2A">
        <w:t xml:space="preserve"> integration stream will focus on:</w:t>
      </w:r>
    </w:p>
    <w:p w14:paraId="747C9172" w14:textId="77777777" w:rsidR="00B276E8" w:rsidRPr="008B4EAA" w:rsidRDefault="009D35BC" w:rsidP="00B276E8">
      <w:pPr>
        <w:pStyle w:val="ListParagraph"/>
        <w:numPr>
          <w:ilvl w:val="0"/>
          <w:numId w:val="24"/>
        </w:numPr>
        <w:ind w:left="360"/>
      </w:pPr>
      <w:r>
        <w:t>t</w:t>
      </w:r>
      <w:r w:rsidR="00B276E8" w:rsidRPr="008B4EAA">
        <w:t xml:space="preserve">he group legal risk frameworks and governance processes will be implemented, and their application aligned with FNB Ghana and the </w:t>
      </w:r>
      <w:r w:rsidR="00CE2CC2">
        <w:t xml:space="preserve">FirstRand </w:t>
      </w:r>
      <w:r w:rsidR="00B276E8" w:rsidRPr="008B4EAA">
        <w:t>group;</w:t>
      </w:r>
    </w:p>
    <w:p w14:paraId="69E4C7DC" w14:textId="77777777" w:rsidR="00B276E8" w:rsidRPr="008B4EAA" w:rsidRDefault="00CE2CC2" w:rsidP="00B276E8">
      <w:pPr>
        <w:pStyle w:val="ListParagraph"/>
        <w:numPr>
          <w:ilvl w:val="0"/>
          <w:numId w:val="24"/>
        </w:numPr>
        <w:ind w:left="360"/>
      </w:pPr>
      <w:r>
        <w:t>a</w:t>
      </w:r>
      <w:r w:rsidR="00B276E8" w:rsidRPr="008B4EAA">
        <w:t>ny legal risks identified during the due diligence process will specifically be attended to;</w:t>
      </w:r>
      <w:r>
        <w:t xml:space="preserve"> and</w:t>
      </w:r>
    </w:p>
    <w:p w14:paraId="08D43019" w14:textId="77777777" w:rsidR="00B276E8" w:rsidRPr="008B4EAA" w:rsidRDefault="00CE2CC2" w:rsidP="00B276E8">
      <w:pPr>
        <w:pStyle w:val="ListParagraph"/>
        <w:numPr>
          <w:ilvl w:val="0"/>
          <w:numId w:val="24"/>
        </w:numPr>
        <w:ind w:left="360"/>
      </w:pPr>
      <w:r>
        <w:t>i</w:t>
      </w:r>
      <w:r w:rsidR="00B276E8" w:rsidRPr="008B4EAA">
        <w:t>n due course legal processes and documentation will be aligned to FNB Ghana and group standards.</w:t>
      </w:r>
    </w:p>
    <w:p w14:paraId="4F45D525" w14:textId="77777777" w:rsidR="00B276E8" w:rsidRDefault="00B276E8" w:rsidP="00B276E8"/>
    <w:p w14:paraId="450ED0C5" w14:textId="77777777" w:rsidR="00B276E8" w:rsidRDefault="00B276E8" w:rsidP="00B276E8">
      <w:pPr>
        <w:pStyle w:val="ListParagraph"/>
        <w:numPr>
          <w:ilvl w:val="1"/>
          <w:numId w:val="3"/>
        </w:numPr>
        <w:rPr>
          <w:u w:val="single"/>
        </w:rPr>
      </w:pPr>
      <w:r w:rsidRPr="00B12BD8">
        <w:rPr>
          <w:u w:val="single"/>
        </w:rPr>
        <w:t>Risk</w:t>
      </w:r>
      <w:r>
        <w:rPr>
          <w:u w:val="single"/>
        </w:rPr>
        <w:t xml:space="preserve"> </w:t>
      </w:r>
    </w:p>
    <w:p w14:paraId="646BF7B8" w14:textId="77777777" w:rsidR="00B276E8" w:rsidRDefault="00B276E8" w:rsidP="00B276E8">
      <w:pPr>
        <w:pStyle w:val="ListParagraph"/>
        <w:ind w:left="360"/>
        <w:rPr>
          <w:u w:val="single"/>
        </w:rPr>
      </w:pPr>
    </w:p>
    <w:p w14:paraId="1D0B4C1A" w14:textId="77777777" w:rsidR="00B276E8" w:rsidRPr="00717C2A" w:rsidRDefault="00B276E8" w:rsidP="00CE2CC2">
      <w:r w:rsidRPr="00717C2A">
        <w:t xml:space="preserve">The </w:t>
      </w:r>
      <w:r w:rsidR="00CE2CC2">
        <w:t>r</w:t>
      </w:r>
      <w:r w:rsidRPr="00717C2A">
        <w:t xml:space="preserve">isk integration stream will focus on: </w:t>
      </w:r>
    </w:p>
    <w:p w14:paraId="55733765" w14:textId="77777777" w:rsidR="00B276E8" w:rsidRDefault="009D35BC" w:rsidP="00B276E8">
      <w:pPr>
        <w:pStyle w:val="ListParagraph"/>
        <w:numPr>
          <w:ilvl w:val="0"/>
          <w:numId w:val="23"/>
        </w:numPr>
      </w:pPr>
      <w:r>
        <w:t>g</w:t>
      </w:r>
      <w:r w:rsidR="00B276E8">
        <w:t>overnance structures in support of the business (risk and compliance)</w:t>
      </w:r>
      <w:r w:rsidR="00CE2CC2">
        <w:t>;</w:t>
      </w:r>
    </w:p>
    <w:p w14:paraId="4020EF24" w14:textId="1682C501" w:rsidR="00B276E8" w:rsidRPr="00717C2A" w:rsidRDefault="009D35BC" w:rsidP="00B276E8">
      <w:pPr>
        <w:pStyle w:val="ListParagraph"/>
        <w:numPr>
          <w:ilvl w:val="0"/>
          <w:numId w:val="23"/>
        </w:numPr>
      </w:pPr>
      <w:r>
        <w:t>a</w:t>
      </w:r>
      <w:r w:rsidR="00B276E8" w:rsidRPr="00717C2A">
        <w:t xml:space="preserve">lignment of risk frameworks, policies and standards </w:t>
      </w:r>
      <w:r w:rsidR="00FE007C" w:rsidRPr="00717C2A">
        <w:t>in</w:t>
      </w:r>
      <w:r w:rsidR="00B276E8" w:rsidRPr="00717C2A">
        <w:t xml:space="preserve"> accordance with the FirstRand </w:t>
      </w:r>
      <w:r w:rsidR="00CE2CC2">
        <w:t>g</w:t>
      </w:r>
      <w:r w:rsidR="00B276E8" w:rsidRPr="00717C2A">
        <w:t>roup</w:t>
      </w:r>
      <w:r w:rsidR="00CE2CC2">
        <w:t>;</w:t>
      </w:r>
    </w:p>
    <w:p w14:paraId="4A82FC90" w14:textId="77777777" w:rsidR="00B276E8" w:rsidRPr="00717C2A" w:rsidRDefault="009D35BC" w:rsidP="00B276E8">
      <w:pPr>
        <w:pStyle w:val="ListParagraph"/>
        <w:numPr>
          <w:ilvl w:val="0"/>
          <w:numId w:val="23"/>
        </w:numPr>
      </w:pPr>
      <w:r>
        <w:t>a</w:t>
      </w:r>
      <w:r w:rsidR="00B276E8" w:rsidRPr="00717C2A">
        <w:t xml:space="preserve">ssessment of completeness of risk metrics to </w:t>
      </w:r>
      <w:r w:rsidR="00CE2CC2">
        <w:t>the FirstRand g</w:t>
      </w:r>
      <w:r w:rsidR="00B276E8" w:rsidRPr="00717C2A">
        <w:t>roup standards</w:t>
      </w:r>
      <w:r w:rsidR="00B276E8">
        <w:t xml:space="preserve"> in current risk reporting output</w:t>
      </w:r>
      <w:r w:rsidR="00CE2CC2">
        <w:t>;</w:t>
      </w:r>
    </w:p>
    <w:p w14:paraId="1E1FFAE7" w14:textId="77777777" w:rsidR="00B276E8" w:rsidRDefault="009D35BC" w:rsidP="00B276E8">
      <w:pPr>
        <w:pStyle w:val="ListParagraph"/>
        <w:numPr>
          <w:ilvl w:val="0"/>
          <w:numId w:val="23"/>
        </w:numPr>
      </w:pPr>
      <w:r>
        <w:t>c</w:t>
      </w:r>
      <w:r w:rsidR="00B276E8" w:rsidRPr="00717C2A">
        <w:t>ompleting skills assessment so as to assess opportunities for integration into FNB</w:t>
      </w:r>
      <w:r>
        <w:t xml:space="preserve"> </w:t>
      </w:r>
      <w:r w:rsidR="00B276E8" w:rsidRPr="00717C2A">
        <w:t>G</w:t>
      </w:r>
      <w:r>
        <w:t>hana</w:t>
      </w:r>
      <w:r w:rsidR="00B276E8" w:rsidRPr="00717C2A">
        <w:t xml:space="preserve"> risk team</w:t>
      </w:r>
      <w:r w:rsidR="00CE2CC2">
        <w:t>;</w:t>
      </w:r>
    </w:p>
    <w:p w14:paraId="4BE93A8C" w14:textId="77777777" w:rsidR="00B276E8" w:rsidRDefault="009D35BC" w:rsidP="00B276E8">
      <w:pPr>
        <w:pStyle w:val="ListParagraph"/>
        <w:numPr>
          <w:ilvl w:val="0"/>
          <w:numId w:val="23"/>
        </w:numPr>
      </w:pPr>
      <w:r>
        <w:lastRenderedPageBreak/>
        <w:t>f</w:t>
      </w:r>
      <w:r w:rsidR="00B276E8">
        <w:t>ocus on operation of key controls and proper working of the controls (suspense accounts, internal fraud, cybercrime)</w:t>
      </w:r>
      <w:r>
        <w:t>;</w:t>
      </w:r>
    </w:p>
    <w:p w14:paraId="4D77E367" w14:textId="77777777" w:rsidR="00B276E8" w:rsidRDefault="009D35BC" w:rsidP="00B276E8">
      <w:pPr>
        <w:pStyle w:val="ListParagraph"/>
        <w:numPr>
          <w:ilvl w:val="0"/>
          <w:numId w:val="23"/>
        </w:numPr>
      </w:pPr>
      <w:r>
        <w:t>a</w:t>
      </w:r>
      <w:r w:rsidR="00B276E8">
        <w:t>ssessment of risk technology in support of risk reporting and opportunities for scaled, integrated solutions to support the combined entity</w:t>
      </w:r>
      <w:r>
        <w:t>; and</w:t>
      </w:r>
    </w:p>
    <w:p w14:paraId="0B5BB865" w14:textId="77777777" w:rsidR="00B276E8" w:rsidRDefault="009D35BC" w:rsidP="00B276E8">
      <w:pPr>
        <w:pStyle w:val="ListParagraph"/>
        <w:numPr>
          <w:ilvl w:val="0"/>
          <w:numId w:val="23"/>
        </w:numPr>
      </w:pPr>
      <w:r>
        <w:t>a</w:t>
      </w:r>
      <w:r w:rsidR="00B276E8">
        <w:t xml:space="preserve"> review of the risk project programme and status of delivery</w:t>
      </w:r>
      <w:r>
        <w:t>.</w:t>
      </w:r>
    </w:p>
    <w:p w14:paraId="58BDA33A" w14:textId="77777777" w:rsidR="00B276E8" w:rsidRDefault="00B276E8" w:rsidP="00B276E8">
      <w:pPr>
        <w:pStyle w:val="ListParagraph"/>
        <w:ind w:left="360"/>
      </w:pPr>
    </w:p>
    <w:p w14:paraId="7E2BCC2C" w14:textId="77777777" w:rsidR="00B276E8" w:rsidRDefault="00B276E8" w:rsidP="00B276E8">
      <w:pPr>
        <w:pStyle w:val="ListParagraph"/>
        <w:numPr>
          <w:ilvl w:val="1"/>
          <w:numId w:val="3"/>
        </w:numPr>
        <w:rPr>
          <w:u w:val="single"/>
        </w:rPr>
      </w:pPr>
      <w:r w:rsidRPr="00B12BD8">
        <w:rPr>
          <w:u w:val="single"/>
        </w:rPr>
        <w:t>Compliance</w:t>
      </w:r>
      <w:r>
        <w:rPr>
          <w:u w:val="single"/>
        </w:rPr>
        <w:t xml:space="preserve"> </w:t>
      </w:r>
    </w:p>
    <w:p w14:paraId="7144A799" w14:textId="77777777" w:rsidR="00B276E8" w:rsidRDefault="00B276E8" w:rsidP="00B276E8">
      <w:pPr>
        <w:pStyle w:val="ListParagraph"/>
        <w:ind w:left="360"/>
      </w:pPr>
    </w:p>
    <w:p w14:paraId="71DE7CE9" w14:textId="77777777" w:rsidR="00B276E8" w:rsidRPr="00717C2A" w:rsidRDefault="00B276E8" w:rsidP="00CE2CC2">
      <w:r w:rsidRPr="00717C2A">
        <w:t xml:space="preserve">The </w:t>
      </w:r>
      <w:r w:rsidR="009D35BC">
        <w:t>c</w:t>
      </w:r>
      <w:r>
        <w:t>ompliance</w:t>
      </w:r>
      <w:r w:rsidRPr="00717C2A">
        <w:t xml:space="preserve"> integration stream will focus on: </w:t>
      </w:r>
    </w:p>
    <w:p w14:paraId="7F6AD8DF" w14:textId="77777777" w:rsidR="00B276E8" w:rsidRPr="00717C2A" w:rsidRDefault="009D35BC" w:rsidP="00B276E8">
      <w:pPr>
        <w:pStyle w:val="ListParagraph"/>
        <w:numPr>
          <w:ilvl w:val="0"/>
          <w:numId w:val="23"/>
        </w:numPr>
      </w:pPr>
      <w:r>
        <w:t>a</w:t>
      </w:r>
      <w:r w:rsidR="00B276E8" w:rsidRPr="00717C2A">
        <w:t>lignment of</w:t>
      </w:r>
      <w:r w:rsidR="00B276E8">
        <w:t xml:space="preserve"> compliance</w:t>
      </w:r>
      <w:r w:rsidR="00B276E8" w:rsidRPr="00717C2A">
        <w:t xml:space="preserve"> frameworks, policies and standards</w:t>
      </w:r>
      <w:r w:rsidR="00B276E8">
        <w:t xml:space="preserve"> </w:t>
      </w:r>
      <w:r w:rsidR="00B276E8" w:rsidRPr="00717C2A">
        <w:t xml:space="preserve">in accordance with the FirstRand </w:t>
      </w:r>
      <w:r>
        <w:t>g</w:t>
      </w:r>
      <w:r w:rsidR="00B276E8" w:rsidRPr="00717C2A">
        <w:t>roup</w:t>
      </w:r>
      <w:r>
        <w:t>;</w:t>
      </w:r>
    </w:p>
    <w:p w14:paraId="410EE84F" w14:textId="77777777" w:rsidR="00B276E8" w:rsidRPr="00717C2A" w:rsidRDefault="009D35BC" w:rsidP="00B276E8">
      <w:pPr>
        <w:pStyle w:val="ListParagraph"/>
        <w:numPr>
          <w:ilvl w:val="0"/>
          <w:numId w:val="23"/>
        </w:numPr>
      </w:pPr>
      <w:r>
        <w:t>a</w:t>
      </w:r>
      <w:r w:rsidR="00B276E8" w:rsidRPr="00717C2A">
        <w:t xml:space="preserve">ssessment of completeness of </w:t>
      </w:r>
      <w:r w:rsidR="00B276E8">
        <w:t xml:space="preserve">AML and </w:t>
      </w:r>
      <w:r>
        <w:t>r</w:t>
      </w:r>
      <w:r w:rsidR="00B276E8">
        <w:t xml:space="preserve">egulatory risk universe </w:t>
      </w:r>
      <w:r w:rsidR="00B276E8" w:rsidRPr="00717C2A">
        <w:t xml:space="preserve">risk metrics to </w:t>
      </w:r>
      <w:r>
        <w:t>the FirstRand g</w:t>
      </w:r>
      <w:r w:rsidR="00B276E8" w:rsidRPr="00717C2A">
        <w:t>roup standards</w:t>
      </w:r>
      <w:r w:rsidR="00B276E8">
        <w:t xml:space="preserve"> in current risk reporting output</w:t>
      </w:r>
      <w:r>
        <w:t>;</w:t>
      </w:r>
    </w:p>
    <w:p w14:paraId="73F2FDEE" w14:textId="77777777" w:rsidR="00B276E8" w:rsidRDefault="009D35BC" w:rsidP="00B276E8">
      <w:pPr>
        <w:pStyle w:val="ListParagraph"/>
        <w:numPr>
          <w:ilvl w:val="0"/>
          <w:numId w:val="23"/>
        </w:numPr>
      </w:pPr>
      <w:r>
        <w:t>c</w:t>
      </w:r>
      <w:r w:rsidR="00B276E8" w:rsidRPr="00717C2A">
        <w:t xml:space="preserve">ompleting skills assessment </w:t>
      </w:r>
      <w:r w:rsidR="00B276E8">
        <w:t xml:space="preserve">of </w:t>
      </w:r>
      <w:r>
        <w:t>c</w:t>
      </w:r>
      <w:r w:rsidR="00B276E8">
        <w:t xml:space="preserve">ompliance team </w:t>
      </w:r>
      <w:r w:rsidR="00B276E8" w:rsidRPr="00717C2A">
        <w:t>so as to assess opportunities for integration into FNB</w:t>
      </w:r>
      <w:r>
        <w:t xml:space="preserve"> </w:t>
      </w:r>
      <w:r w:rsidR="00B276E8" w:rsidRPr="00717C2A">
        <w:t>G</w:t>
      </w:r>
      <w:r>
        <w:t>hana</w:t>
      </w:r>
      <w:r w:rsidR="00B276E8" w:rsidRPr="00717C2A">
        <w:t xml:space="preserve"> </w:t>
      </w:r>
      <w:r w:rsidR="00B276E8">
        <w:t>compliance</w:t>
      </w:r>
      <w:r w:rsidR="00B276E8" w:rsidRPr="00717C2A">
        <w:t xml:space="preserve"> team</w:t>
      </w:r>
      <w:r>
        <w:t>;</w:t>
      </w:r>
    </w:p>
    <w:p w14:paraId="4C048E7E" w14:textId="77777777" w:rsidR="00B276E8" w:rsidRDefault="009D35BC" w:rsidP="00B276E8">
      <w:pPr>
        <w:pStyle w:val="ListParagraph"/>
        <w:numPr>
          <w:ilvl w:val="0"/>
          <w:numId w:val="23"/>
        </w:numPr>
      </w:pPr>
      <w:r>
        <w:t>f</w:t>
      </w:r>
      <w:r w:rsidR="00B276E8">
        <w:t>ocus on operationalisation of KYC on-boarding process, status of KYC compliance, AML measures (STR, threshold reporting and sanction screening at a minimum)</w:t>
      </w:r>
      <w:r>
        <w:t>;</w:t>
      </w:r>
    </w:p>
    <w:p w14:paraId="65DB5B80" w14:textId="77777777" w:rsidR="00B276E8" w:rsidRDefault="009D35BC" w:rsidP="00B276E8">
      <w:pPr>
        <w:pStyle w:val="ListParagraph"/>
        <w:numPr>
          <w:ilvl w:val="0"/>
          <w:numId w:val="23"/>
        </w:numPr>
      </w:pPr>
      <w:r>
        <w:t>a</w:t>
      </w:r>
      <w:r w:rsidR="00B276E8">
        <w:t>ssessment of compliance (</w:t>
      </w:r>
      <w:r>
        <w:t>f</w:t>
      </w:r>
      <w:r w:rsidR="00B276E8">
        <w:t xml:space="preserve">inancial </w:t>
      </w:r>
      <w:r>
        <w:t>c</w:t>
      </w:r>
      <w:r w:rsidR="00B276E8">
        <w:t>rime) technology in support of risk reporting and opportunities for scaled solutions across the combined entity</w:t>
      </w:r>
      <w:r>
        <w:t>; and</w:t>
      </w:r>
    </w:p>
    <w:p w14:paraId="2B5234A3" w14:textId="77777777" w:rsidR="00B276E8" w:rsidRPr="008B4EAA" w:rsidRDefault="009D35BC" w:rsidP="00B276E8">
      <w:pPr>
        <w:pStyle w:val="ListParagraph"/>
        <w:numPr>
          <w:ilvl w:val="0"/>
          <w:numId w:val="23"/>
        </w:numPr>
      </w:pPr>
      <w:r>
        <w:t>a</w:t>
      </w:r>
      <w:r w:rsidR="00B276E8">
        <w:t xml:space="preserve"> review of the </w:t>
      </w:r>
      <w:r>
        <w:t>c</w:t>
      </w:r>
      <w:r w:rsidR="00B276E8">
        <w:t>ompliance project programme and status of delivery</w:t>
      </w:r>
      <w:r>
        <w:t>.</w:t>
      </w:r>
    </w:p>
    <w:p w14:paraId="0BBA23B7" w14:textId="77777777" w:rsidR="00B276E8" w:rsidRDefault="00B276E8" w:rsidP="00B276E8"/>
    <w:p w14:paraId="7EF8D66E" w14:textId="77777777" w:rsidR="00B276E8" w:rsidRDefault="00B276E8" w:rsidP="00B276E8">
      <w:pPr>
        <w:pStyle w:val="ListParagraph"/>
        <w:numPr>
          <w:ilvl w:val="1"/>
          <w:numId w:val="3"/>
        </w:numPr>
        <w:rPr>
          <w:u w:val="single"/>
        </w:rPr>
      </w:pPr>
      <w:r w:rsidRPr="00B12BD8">
        <w:rPr>
          <w:u w:val="single"/>
        </w:rPr>
        <w:t>Other stakeholders</w:t>
      </w:r>
      <w:r>
        <w:rPr>
          <w:u w:val="single"/>
        </w:rPr>
        <w:t>’</w:t>
      </w:r>
      <w:r w:rsidRPr="00B12BD8">
        <w:rPr>
          <w:u w:val="single"/>
        </w:rPr>
        <w:t xml:space="preserve"> communications</w:t>
      </w:r>
      <w:r>
        <w:rPr>
          <w:u w:val="single"/>
        </w:rPr>
        <w:t xml:space="preserve"> </w:t>
      </w:r>
    </w:p>
    <w:p w14:paraId="2B472795" w14:textId="77777777" w:rsidR="00B276E8" w:rsidRDefault="00B276E8" w:rsidP="00B276E8">
      <w:pPr>
        <w:rPr>
          <w:u w:val="single"/>
        </w:rPr>
      </w:pPr>
    </w:p>
    <w:p w14:paraId="63C64F13" w14:textId="77777777" w:rsidR="00011647" w:rsidRDefault="00011647" w:rsidP="00B276E8">
      <w:pPr>
        <w:rPr>
          <w:u w:val="single"/>
        </w:rPr>
      </w:pPr>
      <w:r>
        <w:t>This</w:t>
      </w:r>
      <w:r w:rsidRPr="00D53C04">
        <w:t xml:space="preserve"> integration stream will focus on</w:t>
      </w:r>
      <w:r>
        <w:t>:</w:t>
      </w:r>
    </w:p>
    <w:p w14:paraId="49D484D6" w14:textId="77777777" w:rsidR="00953016" w:rsidRDefault="00011647" w:rsidP="00953016">
      <w:pPr>
        <w:pStyle w:val="ListParagraph"/>
        <w:numPr>
          <w:ilvl w:val="0"/>
          <w:numId w:val="20"/>
        </w:numPr>
      </w:pPr>
      <w:r>
        <w:t>c</w:t>
      </w:r>
      <w:r w:rsidR="00B276E8">
        <w:t>lear and transparent communication to stakeholders other than staff and clients will be key throughout the integration process. These other stakeholders include but are not limited to regulators, shareholder representatives and the media.</w:t>
      </w:r>
    </w:p>
    <w:p w14:paraId="78F8E606" w14:textId="77777777" w:rsidR="00953016" w:rsidRDefault="00953016" w:rsidP="00953016">
      <w:pPr>
        <w:pStyle w:val="Heading1"/>
        <w:numPr>
          <w:ilvl w:val="0"/>
          <w:numId w:val="3"/>
        </w:numPr>
      </w:pPr>
      <w:bookmarkStart w:id="10" w:name="_Toc14085205"/>
      <w:r>
        <w:t>governance</w:t>
      </w:r>
      <w:bookmarkEnd w:id="10"/>
    </w:p>
    <w:p w14:paraId="7F9D5DAD" w14:textId="77777777" w:rsidR="00953016" w:rsidRPr="00BA7FF5" w:rsidRDefault="00953016" w:rsidP="00953016">
      <w:pPr>
        <w:pStyle w:val="ListParagraph"/>
        <w:numPr>
          <w:ilvl w:val="1"/>
          <w:numId w:val="3"/>
        </w:numPr>
      </w:pPr>
      <w:r w:rsidRPr="00D211A2">
        <w:rPr>
          <w:u w:val="single"/>
        </w:rPr>
        <w:t xml:space="preserve">The Board of Directors of </w:t>
      </w:r>
      <w:r>
        <w:rPr>
          <w:u w:val="single"/>
        </w:rPr>
        <w:t>GHL Bank</w:t>
      </w:r>
      <w:r w:rsidRPr="00D211A2">
        <w:rPr>
          <w:u w:val="single"/>
        </w:rPr>
        <w:t xml:space="preserve"> </w:t>
      </w:r>
    </w:p>
    <w:p w14:paraId="531FAC75" w14:textId="77777777" w:rsidR="00953016" w:rsidRDefault="00953016" w:rsidP="00953016">
      <w:pPr>
        <w:pStyle w:val="ListParagraph"/>
        <w:ind w:left="360"/>
      </w:pPr>
    </w:p>
    <w:p w14:paraId="0127F307" w14:textId="77777777" w:rsidR="00953016" w:rsidRDefault="00953016" w:rsidP="00953016">
      <w:pPr>
        <w:tabs>
          <w:tab w:val="num" w:pos="680"/>
        </w:tabs>
      </w:pPr>
      <w:r>
        <w:t>FirstRand proposes the following changes to the structure of the Board for the approval of the BoG following the effective date of the proposed transaction:</w:t>
      </w:r>
    </w:p>
    <w:p w14:paraId="74A303F2" w14:textId="77777777" w:rsidR="00953016" w:rsidRDefault="00953016" w:rsidP="00953016">
      <w:pPr>
        <w:tabs>
          <w:tab w:val="num" w:pos="680"/>
        </w:tabs>
      </w:pPr>
      <w:r>
        <w:t xml:space="preserve"> </w:t>
      </w:r>
    </w:p>
    <w:p w14:paraId="2CDB41CB" w14:textId="77777777" w:rsidR="00953016" w:rsidRDefault="00953016" w:rsidP="00953016">
      <w:pPr>
        <w:tabs>
          <w:tab w:val="num" w:pos="1361"/>
        </w:tabs>
      </w:pPr>
      <w:r w:rsidRPr="00F231BA">
        <w:rPr>
          <w:highlight w:val="yellow"/>
        </w:rPr>
        <w:t>[TBU</w:t>
      </w:r>
      <w:r>
        <w:rPr>
          <w:highlight w:val="yellow"/>
        </w:rPr>
        <w:t xml:space="preserve"> once established</w:t>
      </w:r>
      <w:r w:rsidRPr="00F231BA">
        <w:rPr>
          <w:highlight w:val="yellow"/>
        </w:rPr>
        <w:t>]</w:t>
      </w:r>
      <w:r>
        <w:t xml:space="preserve"> </w:t>
      </w:r>
    </w:p>
    <w:p w14:paraId="7277D6E5" w14:textId="77777777" w:rsidR="00F05A4B" w:rsidRDefault="0003635B">
      <w:pPr>
        <w:pStyle w:val="Heading1"/>
        <w:numPr>
          <w:ilvl w:val="0"/>
          <w:numId w:val="3"/>
        </w:numPr>
      </w:pPr>
      <w:bookmarkStart w:id="11" w:name="_Toc14085206"/>
      <w:r>
        <w:t>Financials</w:t>
      </w:r>
      <w:bookmarkEnd w:id="11"/>
    </w:p>
    <w:p w14:paraId="7A7BFA56" w14:textId="77777777" w:rsidR="00F05A4B" w:rsidRDefault="0003635B">
      <w:pPr>
        <w:pStyle w:val="ListParagraph"/>
        <w:numPr>
          <w:ilvl w:val="1"/>
          <w:numId w:val="3"/>
        </w:numPr>
        <w:rPr>
          <w:u w:val="single"/>
        </w:rPr>
      </w:pPr>
      <w:r>
        <w:rPr>
          <w:u w:val="single"/>
        </w:rPr>
        <w:t>Financial projections</w:t>
      </w:r>
    </w:p>
    <w:p w14:paraId="013FABDC" w14:textId="77777777" w:rsidR="00953016" w:rsidRDefault="00953016" w:rsidP="00953016">
      <w:pPr>
        <w:rPr>
          <w:u w:val="single"/>
        </w:rPr>
      </w:pPr>
    </w:p>
    <w:p w14:paraId="02B0B8B8" w14:textId="77777777" w:rsidR="00F05A4B" w:rsidRDefault="0003635B">
      <w:r>
        <w:t>The financial projects set out below are based on the following assumptions:</w:t>
      </w:r>
    </w:p>
    <w:p w14:paraId="50AB1B3F" w14:textId="77777777" w:rsidR="00F05A4B" w:rsidRDefault="00F05A4B"/>
    <w:p w14:paraId="4F413243" w14:textId="77777777" w:rsidR="00F05A4B" w:rsidRDefault="0003635B">
      <w:pPr>
        <w:pStyle w:val="ListParagraph"/>
        <w:numPr>
          <w:ilvl w:val="0"/>
          <w:numId w:val="9"/>
        </w:numPr>
      </w:pPr>
      <w:r>
        <w:t xml:space="preserve">All </w:t>
      </w:r>
      <w:r w:rsidR="005501B0">
        <w:t>GHL Bank</w:t>
      </w:r>
      <w:r>
        <w:t xml:space="preserve"> financial projections have been generated by </w:t>
      </w:r>
      <w:r w:rsidR="005501B0">
        <w:t xml:space="preserve">GHL Bank management’s forecasts </w:t>
      </w:r>
      <w:r>
        <w:t>with an overlay of macroeconomic and industry forecasts.</w:t>
      </w:r>
    </w:p>
    <w:p w14:paraId="133214ED" w14:textId="77777777" w:rsidR="00F05A4B" w:rsidRDefault="00F05A4B"/>
    <w:p w14:paraId="035980BF" w14:textId="77777777" w:rsidR="00C36516" w:rsidRDefault="00C36516" w:rsidP="00C36516">
      <w:pPr>
        <w:pStyle w:val="ListParagraph"/>
        <w:numPr>
          <w:ilvl w:val="0"/>
          <w:numId w:val="9"/>
        </w:numPr>
      </w:pPr>
      <w:r>
        <w:lastRenderedPageBreak/>
        <w:t xml:space="preserve">The financial projections for </w:t>
      </w:r>
      <w:r w:rsidR="005501B0">
        <w:t>FNB Ghana</w:t>
      </w:r>
      <w:r>
        <w:t xml:space="preserve"> are per the most recent approved budget of this business unit.</w:t>
      </w:r>
    </w:p>
    <w:p w14:paraId="1BACDF27" w14:textId="77777777" w:rsidR="005501B0" w:rsidRDefault="005501B0" w:rsidP="005501B0">
      <w:pPr>
        <w:pStyle w:val="ListParagraph"/>
      </w:pPr>
    </w:p>
    <w:p w14:paraId="51F9A4BF" w14:textId="77777777" w:rsidR="005501B0" w:rsidRDefault="005501B0" w:rsidP="00C36516">
      <w:pPr>
        <w:pStyle w:val="ListParagraph"/>
        <w:numPr>
          <w:ilvl w:val="0"/>
          <w:numId w:val="9"/>
        </w:numPr>
      </w:pPr>
      <w:r>
        <w:t xml:space="preserve">The combined </w:t>
      </w:r>
      <w:r w:rsidR="00684974">
        <w:t>forecasts assume that the business operates as the minimum capital requirement which is the higher of GHS400m minimum paid up capital or 16% CAR.</w:t>
      </w:r>
    </w:p>
    <w:p w14:paraId="71321B76" w14:textId="77777777" w:rsidR="003B47AF" w:rsidRDefault="003B47AF" w:rsidP="003B47AF">
      <w:pPr>
        <w:pStyle w:val="ListParagraph"/>
      </w:pPr>
    </w:p>
    <w:tbl>
      <w:tblPr>
        <w:tblW w:w="5030" w:type="pct"/>
        <w:tblLayout w:type="fixed"/>
        <w:tblCellMar>
          <w:left w:w="0" w:type="dxa"/>
          <w:right w:w="0" w:type="dxa"/>
        </w:tblCellMar>
        <w:tblLook w:val="0600" w:firstRow="0" w:lastRow="0" w:firstColumn="0" w:lastColumn="0" w:noHBand="1" w:noVBand="1"/>
      </w:tblPr>
      <w:tblGrid>
        <w:gridCol w:w="2709"/>
        <w:gridCol w:w="854"/>
        <w:gridCol w:w="856"/>
        <w:gridCol w:w="856"/>
        <w:gridCol w:w="4411"/>
      </w:tblGrid>
      <w:tr w:rsidR="008445A3" w:rsidRPr="008445A3" w14:paraId="5870888D" w14:textId="77777777" w:rsidTr="000F5D58">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FDF1A3"/>
            <w:tcMar>
              <w:top w:w="12" w:type="dxa"/>
              <w:left w:w="106" w:type="dxa"/>
              <w:bottom w:w="0" w:type="dxa"/>
              <w:right w:w="12" w:type="dxa"/>
            </w:tcMar>
            <w:vAlign w:val="center"/>
            <w:hideMark/>
          </w:tcPr>
          <w:p w14:paraId="2A54632C"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b/>
                <w:bCs/>
                <w:kern w:val="24"/>
                <w:sz w:val="16"/>
                <w:szCs w:val="16"/>
                <w:lang w:eastAsia="en-GB"/>
              </w:rPr>
              <w:t>Assumptions</w:t>
            </w:r>
          </w:p>
        </w:tc>
        <w:tc>
          <w:tcPr>
            <w:tcW w:w="441"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026D58A5"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2019</w:t>
            </w:r>
          </w:p>
        </w:tc>
        <w:tc>
          <w:tcPr>
            <w:tcW w:w="442"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37EE5442"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2020</w:t>
            </w:r>
          </w:p>
        </w:tc>
        <w:tc>
          <w:tcPr>
            <w:tcW w:w="442"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4D23492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2021</w:t>
            </w:r>
          </w:p>
        </w:tc>
        <w:tc>
          <w:tcPr>
            <w:tcW w:w="2277" w:type="pct"/>
            <w:tcBorders>
              <w:top w:val="single" w:sz="4" w:space="0" w:color="000000"/>
              <w:left w:val="single" w:sz="4" w:space="0" w:color="000000"/>
              <w:bottom w:val="single" w:sz="4" w:space="0" w:color="000000"/>
              <w:right w:val="single" w:sz="4" w:space="0" w:color="000000"/>
            </w:tcBorders>
            <w:shd w:val="clear" w:color="auto" w:fill="FDF1A3"/>
            <w:tcMar>
              <w:top w:w="12" w:type="dxa"/>
              <w:left w:w="106" w:type="dxa"/>
              <w:bottom w:w="0" w:type="dxa"/>
              <w:right w:w="12" w:type="dxa"/>
            </w:tcMar>
            <w:vAlign w:val="center"/>
            <w:hideMark/>
          </w:tcPr>
          <w:p w14:paraId="5DBA8AED"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b/>
                <w:bCs/>
                <w:kern w:val="24"/>
                <w:sz w:val="16"/>
                <w:szCs w:val="16"/>
                <w:lang w:eastAsia="en-GB"/>
              </w:rPr>
              <w:t>Comment on assumptions</w:t>
            </w:r>
          </w:p>
        </w:tc>
      </w:tr>
      <w:tr w:rsidR="008445A3" w:rsidRPr="008445A3" w14:paraId="3C3750BE" w14:textId="77777777" w:rsidTr="000F5D58">
        <w:trPr>
          <w:trHeight w:val="267"/>
        </w:trPr>
        <w:tc>
          <w:tcPr>
            <w:tcW w:w="1398" w:type="pct"/>
            <w:tcBorders>
              <w:top w:val="single" w:sz="4" w:space="0" w:color="000000"/>
              <w:left w:val="single" w:sz="4" w:space="0" w:color="000000"/>
              <w:bottom w:val="single" w:sz="4" w:space="0" w:color="000000"/>
            </w:tcBorders>
            <w:shd w:val="clear" w:color="auto" w:fill="E4E3E5" w:themeFill="text2" w:themeFillTint="33"/>
            <w:tcMar>
              <w:top w:w="12" w:type="dxa"/>
              <w:left w:w="106" w:type="dxa"/>
              <w:bottom w:w="0" w:type="dxa"/>
              <w:right w:w="12" w:type="dxa"/>
            </w:tcMar>
            <w:vAlign w:val="center"/>
            <w:hideMark/>
          </w:tcPr>
          <w:p w14:paraId="70337CFC"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b/>
                <w:sz w:val="16"/>
                <w:szCs w:val="16"/>
                <w:lang w:eastAsia="en-GB"/>
              </w:rPr>
              <w:t>Macroeconomic assumptions</w:t>
            </w:r>
          </w:p>
        </w:tc>
        <w:tc>
          <w:tcPr>
            <w:tcW w:w="441"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024EC1BE"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226B429C"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07E71113"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2277" w:type="pct"/>
            <w:tcBorders>
              <w:top w:val="single" w:sz="4" w:space="0" w:color="000000"/>
              <w:bottom w:val="single" w:sz="4" w:space="0" w:color="000000"/>
              <w:right w:val="single" w:sz="4" w:space="0" w:color="000000"/>
            </w:tcBorders>
            <w:shd w:val="clear" w:color="auto" w:fill="E4E3E5" w:themeFill="text2" w:themeFillTint="33"/>
            <w:vAlign w:val="center"/>
          </w:tcPr>
          <w:p w14:paraId="4686CB70" w14:textId="77777777" w:rsidR="008445A3" w:rsidRPr="008445A3" w:rsidRDefault="008445A3" w:rsidP="00BF546F">
            <w:pPr>
              <w:spacing w:line="240" w:lineRule="auto"/>
              <w:jc w:val="left"/>
              <w:textAlignment w:val="center"/>
              <w:rPr>
                <w:rFonts w:eastAsia="Times New Roman" w:cs="Arial"/>
                <w:sz w:val="16"/>
                <w:szCs w:val="16"/>
                <w:lang w:eastAsia="en-GB"/>
              </w:rPr>
            </w:pPr>
          </w:p>
        </w:tc>
      </w:tr>
      <w:tr w:rsidR="008445A3" w:rsidRPr="008445A3" w14:paraId="19741BD5"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312166AF" w14:textId="77777777" w:rsidR="008445A3" w:rsidRPr="008445A3" w:rsidRDefault="008445A3"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Real inflation</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96D235C"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9.0%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AF26DD2"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8.5%</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16BCC42"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7.5%</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7F87D7F0" w14:textId="77777777" w:rsidR="008445A3" w:rsidRPr="008445A3" w:rsidRDefault="007926AE"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Based on FirstRand’s houseview</w:t>
            </w:r>
          </w:p>
        </w:tc>
      </w:tr>
      <w:tr w:rsidR="008445A3" w:rsidRPr="008445A3" w14:paraId="7FF15444"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165C87C8" w14:textId="77777777" w:rsidR="008445A3" w:rsidRPr="008445A3" w:rsidRDefault="008445A3"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GDP growth</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76D1CF7B"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6.8%</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A119AFE"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5.8%</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073DF1C"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5.4%</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38431109" w14:textId="77777777" w:rsidR="008445A3" w:rsidRPr="008445A3" w:rsidRDefault="007926AE"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Based on FirstRand’s houseview</w:t>
            </w:r>
          </w:p>
        </w:tc>
      </w:tr>
      <w:tr w:rsidR="008445A3" w:rsidRPr="008445A3" w14:paraId="10399294"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683AB846" w14:textId="77777777" w:rsidR="008445A3" w:rsidRPr="008445A3" w:rsidRDefault="008445A3"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Cost inflation</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2FBC5422"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12.6%</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6F47C1C"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11.4%</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C4A1D41"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10.3%</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525133B5" w14:textId="77777777" w:rsidR="008445A3" w:rsidRPr="008445A3" w:rsidRDefault="007926AE"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Based on FNB Ghana assumptions</w:t>
            </w:r>
          </w:p>
        </w:tc>
      </w:tr>
      <w:tr w:rsidR="008445A3" w:rsidRPr="008445A3" w14:paraId="4C583C29"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0BB8F9DB" w14:textId="77777777" w:rsidR="008445A3" w:rsidRDefault="007926AE"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Tax rate</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525601FA"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896AF3C"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57CD5B59"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25.0%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7C365B44" w14:textId="77777777" w:rsidR="008445A3" w:rsidRPr="008445A3" w:rsidRDefault="007926AE"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Unchanged from current tax rate</w:t>
            </w:r>
          </w:p>
        </w:tc>
      </w:tr>
      <w:tr w:rsidR="008445A3" w:rsidRPr="008445A3" w14:paraId="263E8116" w14:textId="77777777" w:rsidTr="000F5D58">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7008BF7E" w14:textId="77777777" w:rsidR="008445A3" w:rsidRDefault="007926AE"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National stability fund tax rate</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AA7335F"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B6A7AE3"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5EF912DB" w14:textId="77777777" w:rsidR="008445A3" w:rsidRPr="008445A3" w:rsidRDefault="007926AE"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145544D6" w14:textId="77777777" w:rsidR="008445A3" w:rsidRPr="008445A3" w:rsidRDefault="007926AE"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Suspended from end 2019</w:t>
            </w:r>
          </w:p>
        </w:tc>
      </w:tr>
      <w:tr w:rsidR="008445A3" w:rsidRPr="008445A3" w14:paraId="40052EEF" w14:textId="77777777" w:rsidTr="000F5D58">
        <w:trPr>
          <w:trHeight w:val="267"/>
        </w:trPr>
        <w:tc>
          <w:tcPr>
            <w:tcW w:w="1398" w:type="pct"/>
            <w:tcBorders>
              <w:top w:val="single" w:sz="4" w:space="0" w:color="000000"/>
              <w:left w:val="single" w:sz="4" w:space="0" w:color="000000"/>
              <w:bottom w:val="single" w:sz="4" w:space="0" w:color="000000"/>
            </w:tcBorders>
            <w:shd w:val="clear" w:color="auto" w:fill="E4E3E5" w:themeFill="text2" w:themeFillTint="33"/>
            <w:tcMar>
              <w:top w:w="12" w:type="dxa"/>
              <w:left w:w="106" w:type="dxa"/>
              <w:bottom w:w="0" w:type="dxa"/>
              <w:right w:w="12" w:type="dxa"/>
            </w:tcMar>
            <w:vAlign w:val="center"/>
          </w:tcPr>
          <w:p w14:paraId="46EAFD70" w14:textId="77777777" w:rsidR="008445A3" w:rsidRPr="008445A3" w:rsidRDefault="008445A3" w:rsidP="00BF546F">
            <w:pPr>
              <w:spacing w:line="240" w:lineRule="auto"/>
              <w:jc w:val="left"/>
              <w:textAlignment w:val="center"/>
              <w:rPr>
                <w:rFonts w:eastAsia="Times New Roman" w:cs="Arial"/>
                <w:color w:val="000000" w:themeColor="text1"/>
                <w:kern w:val="24"/>
                <w:sz w:val="16"/>
                <w:szCs w:val="16"/>
                <w:lang w:val="en-US" w:eastAsia="en-GB"/>
              </w:rPr>
            </w:pPr>
            <w:r w:rsidRPr="008445A3">
              <w:rPr>
                <w:rFonts w:eastAsia="Times New Roman" w:cs="Arial"/>
                <w:b/>
                <w:bCs/>
                <w:color w:val="000000" w:themeColor="text1"/>
                <w:kern w:val="24"/>
                <w:sz w:val="16"/>
                <w:szCs w:val="16"/>
                <w:lang w:eastAsia="en-GB"/>
              </w:rPr>
              <w:t>Balance sheet</w:t>
            </w:r>
          </w:p>
        </w:tc>
        <w:tc>
          <w:tcPr>
            <w:tcW w:w="441"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4009805D" w14:textId="77777777" w:rsidR="008445A3" w:rsidRPr="008445A3" w:rsidRDefault="008445A3" w:rsidP="00BF546F">
            <w:pPr>
              <w:spacing w:line="240" w:lineRule="auto"/>
              <w:jc w:val="right"/>
              <w:textAlignment w:val="center"/>
              <w:rPr>
                <w:rFonts w:eastAsia="Times New Roman" w:cs="Arial"/>
                <w:color w:val="000000" w:themeColor="text1"/>
                <w:kern w:val="24"/>
                <w:sz w:val="16"/>
                <w:szCs w:val="16"/>
                <w:lang w:val="en-US"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478E3EFC" w14:textId="77777777" w:rsidR="008445A3" w:rsidRPr="008445A3" w:rsidRDefault="008445A3" w:rsidP="00BF546F">
            <w:pPr>
              <w:spacing w:line="240" w:lineRule="auto"/>
              <w:jc w:val="right"/>
              <w:textAlignment w:val="center"/>
              <w:rPr>
                <w:rFonts w:eastAsia="Times New Roman" w:cs="Arial"/>
                <w:color w:val="000000" w:themeColor="text1"/>
                <w:kern w:val="24"/>
                <w:sz w:val="16"/>
                <w:szCs w:val="16"/>
                <w:lang w:val="en-US"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37132329" w14:textId="77777777" w:rsidR="008445A3" w:rsidRPr="008445A3" w:rsidRDefault="008445A3" w:rsidP="00BF546F">
            <w:pPr>
              <w:spacing w:line="240" w:lineRule="auto"/>
              <w:jc w:val="right"/>
              <w:textAlignment w:val="center"/>
              <w:rPr>
                <w:rFonts w:eastAsia="Times New Roman" w:cs="Arial"/>
                <w:color w:val="000000" w:themeColor="text1"/>
                <w:kern w:val="24"/>
                <w:sz w:val="16"/>
                <w:szCs w:val="16"/>
                <w:lang w:val="en-US" w:eastAsia="en-GB"/>
              </w:rPr>
            </w:pPr>
          </w:p>
        </w:tc>
        <w:tc>
          <w:tcPr>
            <w:tcW w:w="2277" w:type="pct"/>
            <w:tcBorders>
              <w:top w:val="single" w:sz="4" w:space="0" w:color="000000"/>
              <w:bottom w:val="single" w:sz="4" w:space="0" w:color="000000"/>
              <w:right w:val="single" w:sz="4" w:space="0" w:color="000000"/>
            </w:tcBorders>
            <w:shd w:val="clear" w:color="auto" w:fill="E4E3E5" w:themeFill="text2" w:themeFillTint="33"/>
            <w:vAlign w:val="center"/>
          </w:tcPr>
          <w:p w14:paraId="7438BF06" w14:textId="77777777" w:rsidR="008445A3" w:rsidRPr="008445A3" w:rsidRDefault="008445A3" w:rsidP="00BF546F">
            <w:pPr>
              <w:spacing w:line="240" w:lineRule="auto"/>
              <w:jc w:val="left"/>
              <w:textAlignment w:val="center"/>
              <w:rPr>
                <w:rFonts w:eastAsia="Times New Roman" w:cs="Arial"/>
                <w:color w:val="000000" w:themeColor="text1"/>
                <w:kern w:val="24"/>
                <w:sz w:val="16"/>
                <w:szCs w:val="16"/>
                <w:lang w:val="en-US" w:eastAsia="en-GB"/>
              </w:rPr>
            </w:pPr>
          </w:p>
        </w:tc>
      </w:tr>
      <w:tr w:rsidR="008445A3" w:rsidRPr="008445A3" w14:paraId="4910622E"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1E65414"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Loan growth</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C34412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10.0%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BB476B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10.0%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753B4CDA"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10.0%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7F00497E"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 xml:space="preserve">Advances growth </w:t>
            </w:r>
            <w:r>
              <w:rPr>
                <w:rFonts w:eastAsia="Times New Roman" w:cs="Arial"/>
                <w:color w:val="000000" w:themeColor="text1"/>
                <w:kern w:val="24"/>
                <w:sz w:val="16"/>
                <w:szCs w:val="16"/>
                <w:lang w:val="en-US" w:eastAsia="en-GB"/>
              </w:rPr>
              <w:t>in line with</w:t>
            </w:r>
            <w:r w:rsidRPr="008445A3">
              <w:rPr>
                <w:rFonts w:eastAsia="Times New Roman" w:cs="Arial"/>
                <w:color w:val="000000" w:themeColor="text1"/>
                <w:kern w:val="24"/>
                <w:sz w:val="16"/>
                <w:szCs w:val="16"/>
                <w:lang w:val="en-US" w:eastAsia="en-GB"/>
              </w:rPr>
              <w:t xml:space="preserve"> FSR risk framework</w:t>
            </w:r>
          </w:p>
        </w:tc>
      </w:tr>
      <w:tr w:rsidR="008445A3" w:rsidRPr="008445A3" w14:paraId="4B76D992"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4935ED9"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Deposit growth</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74AA6007"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100.0%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4732EB65"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75.0%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77D6F77"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50.0%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7229DFAD"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Current 6 month run rate = 197%</w:t>
            </w:r>
          </w:p>
        </w:tc>
      </w:tr>
      <w:tr w:rsidR="008445A3" w:rsidRPr="008445A3" w14:paraId="4C511E15" w14:textId="77777777" w:rsidTr="000F5D58">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9859B45"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Other assets and liabilities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5A268C2"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15.8%</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429980EA"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14.3%</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5F371D1"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12.9%</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37622C7A"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Real inflation plus GDP growth</w:t>
            </w:r>
          </w:p>
        </w:tc>
      </w:tr>
      <w:tr w:rsidR="008445A3" w:rsidRPr="008445A3" w14:paraId="647E49D6" w14:textId="77777777" w:rsidTr="000F5D58">
        <w:trPr>
          <w:trHeight w:val="267"/>
        </w:trPr>
        <w:tc>
          <w:tcPr>
            <w:tcW w:w="1398" w:type="pct"/>
            <w:tcBorders>
              <w:top w:val="single" w:sz="4" w:space="0" w:color="000000"/>
              <w:left w:val="single" w:sz="4" w:space="0" w:color="000000"/>
              <w:bottom w:val="single" w:sz="4" w:space="0" w:color="000000"/>
            </w:tcBorders>
            <w:shd w:val="clear" w:color="auto" w:fill="E4E3E5" w:themeFill="text2" w:themeFillTint="33"/>
            <w:tcMar>
              <w:top w:w="12" w:type="dxa"/>
              <w:left w:w="106" w:type="dxa"/>
              <w:bottom w:w="0" w:type="dxa"/>
              <w:right w:w="12" w:type="dxa"/>
            </w:tcMar>
            <w:vAlign w:val="center"/>
            <w:hideMark/>
          </w:tcPr>
          <w:p w14:paraId="5EFBFCB2"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b/>
                <w:bCs/>
                <w:color w:val="000000" w:themeColor="text1"/>
                <w:kern w:val="24"/>
                <w:sz w:val="16"/>
                <w:szCs w:val="16"/>
                <w:lang w:eastAsia="en-GB"/>
              </w:rPr>
              <w:t>Income statement</w:t>
            </w:r>
          </w:p>
        </w:tc>
        <w:tc>
          <w:tcPr>
            <w:tcW w:w="441"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041A162E"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77D18A32"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3CAF95CD" w14:textId="77777777" w:rsidR="008445A3" w:rsidRPr="008445A3" w:rsidRDefault="008445A3" w:rsidP="00BF546F">
            <w:pPr>
              <w:spacing w:line="240" w:lineRule="auto"/>
              <w:jc w:val="right"/>
              <w:textAlignment w:val="center"/>
              <w:rPr>
                <w:rFonts w:eastAsia="Times New Roman" w:cs="Arial"/>
                <w:sz w:val="16"/>
                <w:szCs w:val="16"/>
                <w:lang w:eastAsia="en-GB"/>
              </w:rPr>
            </w:pPr>
          </w:p>
        </w:tc>
        <w:tc>
          <w:tcPr>
            <w:tcW w:w="2277" w:type="pct"/>
            <w:tcBorders>
              <w:top w:val="single" w:sz="4" w:space="0" w:color="000000"/>
              <w:bottom w:val="single" w:sz="4" w:space="0" w:color="000000"/>
              <w:right w:val="single" w:sz="4" w:space="0" w:color="000000"/>
            </w:tcBorders>
            <w:shd w:val="clear" w:color="auto" w:fill="E4E3E5" w:themeFill="text2" w:themeFillTint="33"/>
            <w:vAlign w:val="center"/>
          </w:tcPr>
          <w:p w14:paraId="3712BA35" w14:textId="77777777" w:rsidR="008445A3" w:rsidRPr="008445A3" w:rsidRDefault="008445A3" w:rsidP="00BF546F">
            <w:pPr>
              <w:spacing w:line="240" w:lineRule="auto"/>
              <w:jc w:val="left"/>
              <w:textAlignment w:val="center"/>
              <w:rPr>
                <w:rFonts w:eastAsia="Times New Roman" w:cs="Arial"/>
                <w:sz w:val="16"/>
                <w:szCs w:val="16"/>
                <w:lang w:eastAsia="en-GB"/>
              </w:rPr>
            </w:pPr>
          </w:p>
        </w:tc>
      </w:tr>
      <w:tr w:rsidR="008445A3" w:rsidRPr="008445A3" w14:paraId="1570B7E6"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5BE374A0"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Non-interest revenue growth</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3FFE0ED1"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08B48F6"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4A7AC176"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625C9944"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Includes fees</w:t>
            </w:r>
            <w:r w:rsidR="00EF09D5">
              <w:rPr>
                <w:rFonts w:eastAsia="Times New Roman" w:cs="Arial"/>
                <w:color w:val="000000" w:themeColor="text1"/>
                <w:kern w:val="24"/>
                <w:sz w:val="16"/>
                <w:szCs w:val="16"/>
                <w:lang w:val="en-US" w:eastAsia="en-GB"/>
              </w:rPr>
              <w:t xml:space="preserve"> and foreign exchange gains and losses</w:t>
            </w:r>
          </w:p>
        </w:tc>
      </w:tr>
      <w:tr w:rsidR="008445A3" w:rsidRPr="008445A3" w14:paraId="2E027F05"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04B9F24"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USD loan advance rate</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024DE7B"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13.0%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7177C336"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13.0%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A88E71B"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13.0%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116AD49"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Current average USD loan rate</w:t>
            </w:r>
          </w:p>
        </w:tc>
      </w:tr>
      <w:tr w:rsidR="008445A3" w:rsidRPr="008445A3" w14:paraId="4F4BBCEE"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30CFB0D1"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Percentage of USD deposits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2ABF1F23"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11A5A0F"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6AFDAAD8"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08FFF8E" w14:textId="77777777" w:rsidR="008445A3" w:rsidRPr="008445A3" w:rsidRDefault="00EF09D5" w:rsidP="00BF546F">
            <w:pPr>
              <w:spacing w:line="240" w:lineRule="auto"/>
              <w:jc w:val="left"/>
              <w:textAlignment w:val="center"/>
              <w:rPr>
                <w:rFonts w:eastAsia="Times New Roman" w:cs="Arial"/>
                <w:sz w:val="16"/>
                <w:szCs w:val="16"/>
                <w:lang w:eastAsia="en-GB"/>
              </w:rPr>
            </w:pPr>
            <w:r>
              <w:rPr>
                <w:rFonts w:eastAsia="Times New Roman" w:cs="Arial"/>
                <w:color w:val="000000" w:themeColor="text1"/>
                <w:kern w:val="24"/>
                <w:sz w:val="16"/>
                <w:szCs w:val="16"/>
                <w:lang w:eastAsia="en-GB"/>
              </w:rPr>
              <w:t>Strategy to reduce reliance on</w:t>
            </w:r>
            <w:r w:rsidR="008445A3" w:rsidRPr="008445A3">
              <w:rPr>
                <w:rFonts w:eastAsia="Times New Roman" w:cs="Arial"/>
                <w:color w:val="000000" w:themeColor="text1"/>
                <w:kern w:val="24"/>
                <w:sz w:val="16"/>
                <w:szCs w:val="16"/>
                <w:lang w:eastAsia="en-GB"/>
              </w:rPr>
              <w:t xml:space="preserve"> USD deposits</w:t>
            </w:r>
          </w:p>
        </w:tc>
      </w:tr>
      <w:tr w:rsidR="008445A3" w:rsidRPr="008445A3" w14:paraId="4E57B772"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79BE834"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Funding cost on GHS deposits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2327E264"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6.0%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4C24E574"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6.0%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3E8365C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6.0%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51E4B745" w14:textId="77777777" w:rsidR="008445A3" w:rsidRPr="008445A3" w:rsidRDefault="008445A3" w:rsidP="00BF546F">
            <w:pPr>
              <w:spacing w:line="240" w:lineRule="auto"/>
              <w:jc w:val="left"/>
              <w:textAlignment w:val="center"/>
              <w:rPr>
                <w:rFonts w:eastAsia="Times New Roman" w:cs="Arial"/>
                <w:sz w:val="16"/>
                <w:szCs w:val="16"/>
                <w:lang w:eastAsia="en-GB"/>
              </w:rPr>
            </w:pPr>
            <w:r>
              <w:rPr>
                <w:rFonts w:eastAsia="Times New Roman" w:cs="Arial"/>
                <w:color w:val="000000" w:themeColor="text1"/>
                <w:kern w:val="24"/>
                <w:sz w:val="16"/>
                <w:szCs w:val="16"/>
                <w:lang w:val="en-US" w:eastAsia="en-GB"/>
              </w:rPr>
              <w:t>In line with FNB Ghana assumptions</w:t>
            </w:r>
          </w:p>
        </w:tc>
      </w:tr>
      <w:tr w:rsidR="008445A3" w:rsidRPr="008445A3" w14:paraId="4812E9B0"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625610A"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Return on GHS t-bills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33088131"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13.4%</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6851165B"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12.4%</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9D38DEF"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12.4%</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3F8BA61" w14:textId="77777777" w:rsidR="008445A3" w:rsidRPr="008445A3" w:rsidRDefault="008445A3" w:rsidP="00BF546F">
            <w:pPr>
              <w:spacing w:line="240" w:lineRule="auto"/>
              <w:jc w:val="left"/>
              <w:textAlignment w:val="center"/>
              <w:rPr>
                <w:rFonts w:eastAsia="Times New Roman" w:cs="Arial"/>
                <w:sz w:val="16"/>
                <w:szCs w:val="16"/>
                <w:lang w:eastAsia="en-GB"/>
              </w:rPr>
            </w:pPr>
            <w:r w:rsidRPr="00D1428C">
              <w:rPr>
                <w:rFonts w:eastAsia="Times New Roman" w:cs="Arial"/>
                <w:color w:val="000000" w:themeColor="text1"/>
                <w:kern w:val="24"/>
                <w:sz w:val="16"/>
                <w:szCs w:val="16"/>
                <w:lang w:val="en-US" w:eastAsia="en-GB"/>
              </w:rPr>
              <w:t>In line with FNB Ghana assumptions</w:t>
            </w:r>
          </w:p>
        </w:tc>
      </w:tr>
      <w:tr w:rsidR="008445A3" w:rsidRPr="008445A3" w14:paraId="4BDF1FB9"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89BE599"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val="en-US" w:eastAsia="en-GB"/>
              </w:rPr>
              <w:t>Funding cost on USD deposits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2FC3DE33"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0.9%</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830062D"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0.9%</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35698FF1"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0.9%</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DC3CEBE" w14:textId="77777777" w:rsidR="008445A3" w:rsidRPr="008445A3" w:rsidRDefault="008445A3" w:rsidP="00BF546F">
            <w:pPr>
              <w:spacing w:line="240" w:lineRule="auto"/>
              <w:jc w:val="left"/>
              <w:textAlignment w:val="center"/>
              <w:rPr>
                <w:rFonts w:eastAsia="Times New Roman" w:cs="Arial"/>
                <w:sz w:val="16"/>
                <w:szCs w:val="16"/>
                <w:lang w:eastAsia="en-GB"/>
              </w:rPr>
            </w:pPr>
            <w:r w:rsidRPr="00D1428C">
              <w:rPr>
                <w:rFonts w:eastAsia="Times New Roman" w:cs="Arial"/>
                <w:color w:val="000000" w:themeColor="text1"/>
                <w:kern w:val="24"/>
                <w:sz w:val="16"/>
                <w:szCs w:val="16"/>
                <w:lang w:val="en-US" w:eastAsia="en-GB"/>
              </w:rPr>
              <w:t>In line with FNB Ghana assumptions</w:t>
            </w:r>
          </w:p>
        </w:tc>
      </w:tr>
      <w:tr w:rsidR="008445A3" w:rsidRPr="008445A3" w14:paraId="14BF02FD"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49D0C7BC"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Return on USD t-bills</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698B54BB"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213E772E"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746EF31A"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2.5%</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5F713304" w14:textId="77777777" w:rsidR="008445A3" w:rsidRPr="008445A3" w:rsidRDefault="008445A3" w:rsidP="00BF546F">
            <w:pPr>
              <w:spacing w:line="240" w:lineRule="auto"/>
              <w:jc w:val="left"/>
              <w:textAlignment w:val="center"/>
              <w:rPr>
                <w:rFonts w:eastAsia="Times New Roman" w:cs="Arial"/>
                <w:sz w:val="16"/>
                <w:szCs w:val="16"/>
                <w:lang w:eastAsia="en-GB"/>
              </w:rPr>
            </w:pPr>
            <w:r w:rsidRPr="00D1428C">
              <w:rPr>
                <w:rFonts w:eastAsia="Times New Roman" w:cs="Arial"/>
                <w:color w:val="000000" w:themeColor="text1"/>
                <w:kern w:val="24"/>
                <w:sz w:val="16"/>
                <w:szCs w:val="16"/>
                <w:lang w:val="en-US" w:eastAsia="en-GB"/>
              </w:rPr>
              <w:t>In line with FNB Ghana assumptions</w:t>
            </w:r>
          </w:p>
        </w:tc>
      </w:tr>
      <w:tr w:rsidR="008445A3" w:rsidRPr="008445A3" w14:paraId="7380CBB0"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7EE251EA" w14:textId="4A025064"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 xml:space="preserve">DFI </w:t>
            </w:r>
            <w:r w:rsidR="0012190A" w:rsidRPr="008445A3">
              <w:rPr>
                <w:rFonts w:eastAsia="Times New Roman" w:cs="Arial"/>
                <w:color w:val="000000" w:themeColor="text1"/>
                <w:kern w:val="24"/>
                <w:sz w:val="16"/>
                <w:szCs w:val="16"/>
                <w:lang w:eastAsia="en-GB"/>
              </w:rPr>
              <w:t>funding</w:t>
            </w:r>
            <w:r w:rsidRPr="008445A3">
              <w:rPr>
                <w:rFonts w:eastAsia="Times New Roman" w:cs="Arial"/>
                <w:color w:val="000000" w:themeColor="text1"/>
                <w:kern w:val="24"/>
                <w:sz w:val="16"/>
                <w:szCs w:val="16"/>
                <w:lang w:eastAsia="en-GB"/>
              </w:rPr>
              <w:t xml:space="preserve"> cost</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4B6D6C14"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7.7%</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3FD80EA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7.7%</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5EB7499A"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7.7%</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388F7B7A"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Current average funding cost</w:t>
            </w:r>
          </w:p>
        </w:tc>
      </w:tr>
      <w:tr w:rsidR="008445A3" w:rsidRPr="008445A3" w14:paraId="615BD157"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F130D02"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Credit loss ratio</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08E6D920"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B245A79"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5CAF901F"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2.0%</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5638EFFE" w14:textId="77777777" w:rsidR="008445A3" w:rsidRPr="008445A3" w:rsidRDefault="008445A3" w:rsidP="00BF546F">
            <w:pPr>
              <w:spacing w:line="240" w:lineRule="auto"/>
              <w:jc w:val="left"/>
              <w:textAlignment w:val="center"/>
              <w:rPr>
                <w:rFonts w:eastAsia="Times New Roman" w:cs="Arial"/>
                <w:sz w:val="16"/>
                <w:szCs w:val="16"/>
                <w:lang w:eastAsia="en-GB"/>
              </w:rPr>
            </w:pPr>
            <w:r>
              <w:rPr>
                <w:rFonts w:eastAsia="Times New Roman" w:cs="Arial"/>
                <w:color w:val="000000" w:themeColor="text1"/>
                <w:kern w:val="24"/>
                <w:sz w:val="16"/>
                <w:szCs w:val="16"/>
                <w:lang w:val="en-US" w:eastAsia="en-GB"/>
              </w:rPr>
              <w:t>In line with</w:t>
            </w:r>
            <w:r w:rsidRPr="008445A3">
              <w:rPr>
                <w:rFonts w:eastAsia="Times New Roman" w:cs="Arial"/>
                <w:color w:val="000000" w:themeColor="text1"/>
                <w:kern w:val="24"/>
                <w:sz w:val="16"/>
                <w:szCs w:val="16"/>
                <w:lang w:val="en-US" w:eastAsia="en-GB"/>
              </w:rPr>
              <w:t xml:space="preserve"> FSR framework</w:t>
            </w:r>
          </w:p>
        </w:tc>
      </w:tr>
      <w:tr w:rsidR="008445A3" w:rsidRPr="008445A3" w14:paraId="3FF08DB6" w14:textId="77777777" w:rsidTr="000F5D58">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1A7AF04B" w14:textId="77777777" w:rsidR="008445A3" w:rsidRPr="008445A3" w:rsidRDefault="008445A3" w:rsidP="00BF546F">
            <w:pPr>
              <w:spacing w:line="240" w:lineRule="auto"/>
              <w:jc w:val="lef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Expense</w:t>
            </w:r>
            <w:r w:rsidR="00EF09D5">
              <w:rPr>
                <w:rFonts w:eastAsia="Times New Roman" w:cs="Arial"/>
                <w:color w:val="000000" w:themeColor="text1"/>
                <w:kern w:val="24"/>
                <w:sz w:val="16"/>
                <w:szCs w:val="16"/>
                <w:lang w:eastAsia="en-GB"/>
              </w:rPr>
              <w:t xml:space="preserve"> growth</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7961201F"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12.6%</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1E1A2BEA"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11.4%</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hideMark/>
          </w:tcPr>
          <w:p w14:paraId="6D138426" w14:textId="77777777" w:rsidR="008445A3" w:rsidRPr="008445A3" w:rsidRDefault="008445A3" w:rsidP="00BF546F">
            <w:pPr>
              <w:spacing w:line="240" w:lineRule="auto"/>
              <w:jc w:val="right"/>
              <w:textAlignment w:val="center"/>
              <w:rPr>
                <w:rFonts w:eastAsia="Times New Roman" w:cs="Arial"/>
                <w:sz w:val="16"/>
                <w:szCs w:val="16"/>
                <w:lang w:eastAsia="en-GB"/>
              </w:rPr>
            </w:pPr>
            <w:r w:rsidRPr="008445A3">
              <w:rPr>
                <w:rFonts w:eastAsia="Times New Roman" w:cs="Arial"/>
                <w:color w:val="000000" w:themeColor="text1"/>
                <w:kern w:val="24"/>
                <w:sz w:val="16"/>
                <w:szCs w:val="16"/>
                <w:lang w:eastAsia="en-GB"/>
              </w:rPr>
              <w:t>10.3%</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hideMark/>
          </w:tcPr>
          <w:p w14:paraId="20C1A556" w14:textId="239FB9AF" w:rsidR="008445A3" w:rsidRPr="008445A3" w:rsidRDefault="008445A3" w:rsidP="00BF546F">
            <w:pPr>
              <w:spacing w:line="240" w:lineRule="auto"/>
              <w:jc w:val="left"/>
              <w:textAlignment w:val="center"/>
              <w:rPr>
                <w:rFonts w:eastAsia="Times New Roman" w:cs="Arial"/>
                <w:sz w:val="16"/>
                <w:szCs w:val="16"/>
                <w:lang w:eastAsia="en-GB"/>
              </w:rPr>
            </w:pPr>
            <w:r>
              <w:rPr>
                <w:rFonts w:eastAsia="Times New Roman" w:cs="Arial"/>
                <w:color w:val="000000" w:themeColor="text1"/>
                <w:kern w:val="24"/>
                <w:sz w:val="16"/>
                <w:szCs w:val="16"/>
                <w:lang w:val="en-US" w:eastAsia="en-GB"/>
              </w:rPr>
              <w:t xml:space="preserve">In line </w:t>
            </w:r>
            <w:r w:rsidR="00C22B3B">
              <w:rPr>
                <w:rFonts w:eastAsia="Times New Roman" w:cs="Arial"/>
                <w:color w:val="000000" w:themeColor="text1"/>
                <w:kern w:val="24"/>
                <w:sz w:val="16"/>
                <w:szCs w:val="16"/>
                <w:lang w:val="en-US" w:eastAsia="en-GB"/>
              </w:rPr>
              <w:t>with cost</w:t>
            </w:r>
            <w:r w:rsidRPr="008445A3">
              <w:rPr>
                <w:rFonts w:eastAsia="Times New Roman" w:cs="Arial"/>
                <w:color w:val="000000" w:themeColor="text1"/>
                <w:kern w:val="24"/>
                <w:sz w:val="16"/>
                <w:szCs w:val="16"/>
                <w:lang w:val="en-US" w:eastAsia="en-GB"/>
              </w:rPr>
              <w:t xml:space="preserve"> inflation </w:t>
            </w:r>
            <w:r>
              <w:rPr>
                <w:rFonts w:eastAsia="Times New Roman" w:cs="Arial"/>
                <w:color w:val="000000" w:themeColor="text1"/>
                <w:kern w:val="24"/>
                <w:sz w:val="16"/>
                <w:szCs w:val="16"/>
                <w:lang w:val="en-US" w:eastAsia="en-GB"/>
              </w:rPr>
              <w:t>assumptions</w:t>
            </w:r>
          </w:p>
        </w:tc>
      </w:tr>
      <w:tr w:rsidR="00CB7F4B" w:rsidRPr="008445A3" w14:paraId="71A9D591" w14:textId="77777777" w:rsidTr="000F5D58">
        <w:trPr>
          <w:trHeight w:val="267"/>
        </w:trPr>
        <w:tc>
          <w:tcPr>
            <w:tcW w:w="1398" w:type="pct"/>
            <w:tcBorders>
              <w:top w:val="single" w:sz="4" w:space="0" w:color="000000"/>
              <w:left w:val="single" w:sz="4" w:space="0" w:color="000000"/>
              <w:bottom w:val="single" w:sz="4" w:space="0" w:color="000000"/>
            </w:tcBorders>
            <w:shd w:val="clear" w:color="auto" w:fill="E4E3E5" w:themeFill="text2" w:themeFillTint="33"/>
            <w:tcMar>
              <w:top w:w="12" w:type="dxa"/>
              <w:left w:w="106" w:type="dxa"/>
              <w:bottom w:w="0" w:type="dxa"/>
              <w:right w:w="12" w:type="dxa"/>
            </w:tcMar>
            <w:vAlign w:val="center"/>
          </w:tcPr>
          <w:p w14:paraId="0A79652C" w14:textId="77777777" w:rsidR="00CB7F4B" w:rsidRPr="00AF6542" w:rsidRDefault="00CB7F4B" w:rsidP="00BF546F">
            <w:pPr>
              <w:spacing w:line="240" w:lineRule="auto"/>
              <w:jc w:val="left"/>
              <w:textAlignment w:val="center"/>
              <w:rPr>
                <w:rFonts w:eastAsia="Times New Roman" w:cs="Arial"/>
                <w:b/>
                <w:bCs/>
                <w:color w:val="000000" w:themeColor="text1"/>
                <w:kern w:val="24"/>
                <w:sz w:val="16"/>
                <w:szCs w:val="16"/>
                <w:lang w:eastAsia="en-GB"/>
              </w:rPr>
            </w:pPr>
            <w:r w:rsidRPr="00AF6542">
              <w:rPr>
                <w:rFonts w:eastAsia="Times New Roman" w:cs="Arial"/>
                <w:b/>
                <w:bCs/>
                <w:color w:val="000000" w:themeColor="text1"/>
                <w:kern w:val="24"/>
                <w:sz w:val="16"/>
                <w:szCs w:val="16"/>
                <w:lang w:eastAsia="en-GB"/>
              </w:rPr>
              <w:t>Expected synergies/costs</w:t>
            </w:r>
          </w:p>
        </w:tc>
        <w:tc>
          <w:tcPr>
            <w:tcW w:w="441" w:type="pct"/>
            <w:tcBorders>
              <w:top w:val="single" w:sz="4" w:space="0" w:color="000000"/>
              <w:bottom w:val="single" w:sz="4" w:space="0" w:color="000000"/>
            </w:tcBorders>
            <w:shd w:val="clear" w:color="auto" w:fill="E4E3E5" w:themeFill="text2" w:themeFillTint="33"/>
            <w:tcMar>
              <w:top w:w="15" w:type="dxa"/>
              <w:left w:w="57" w:type="dxa"/>
              <w:bottom w:w="0" w:type="dxa"/>
              <w:right w:w="57" w:type="dxa"/>
            </w:tcMar>
            <w:vAlign w:val="center"/>
          </w:tcPr>
          <w:p w14:paraId="6E2B0B98" w14:textId="77777777" w:rsidR="00CB7F4B" w:rsidRPr="00AF6542" w:rsidRDefault="00CB7F4B" w:rsidP="00BF546F">
            <w:pPr>
              <w:spacing w:line="240" w:lineRule="auto"/>
              <w:jc w:val="right"/>
              <w:textAlignment w:val="center"/>
              <w:rPr>
                <w:rFonts w:eastAsia="Times New Roman" w:cs="Arial"/>
                <w:b/>
                <w:bCs/>
                <w:color w:val="000000" w:themeColor="text1"/>
                <w:kern w:val="24"/>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top w:w="15" w:type="dxa"/>
              <w:left w:w="57" w:type="dxa"/>
              <w:bottom w:w="0" w:type="dxa"/>
              <w:right w:w="57" w:type="dxa"/>
            </w:tcMar>
            <w:vAlign w:val="center"/>
          </w:tcPr>
          <w:p w14:paraId="0468B26B" w14:textId="77777777" w:rsidR="00CB7F4B" w:rsidRPr="00AF6542" w:rsidRDefault="00CB7F4B" w:rsidP="00BF546F">
            <w:pPr>
              <w:spacing w:line="240" w:lineRule="auto"/>
              <w:jc w:val="right"/>
              <w:textAlignment w:val="center"/>
              <w:rPr>
                <w:rFonts w:eastAsia="Times New Roman" w:cs="Arial"/>
                <w:b/>
                <w:bCs/>
                <w:color w:val="000000" w:themeColor="text1"/>
                <w:kern w:val="24"/>
                <w:sz w:val="16"/>
                <w:szCs w:val="16"/>
                <w:lang w:eastAsia="en-GB"/>
              </w:rPr>
            </w:pPr>
          </w:p>
        </w:tc>
        <w:tc>
          <w:tcPr>
            <w:tcW w:w="442" w:type="pct"/>
            <w:tcBorders>
              <w:top w:val="single" w:sz="4" w:space="0" w:color="000000"/>
              <w:bottom w:val="single" w:sz="4" w:space="0" w:color="000000"/>
            </w:tcBorders>
            <w:shd w:val="clear" w:color="auto" w:fill="E4E3E5" w:themeFill="text2" w:themeFillTint="33"/>
            <w:tcMar>
              <w:top w:w="15" w:type="dxa"/>
              <w:left w:w="57" w:type="dxa"/>
              <w:bottom w:w="0" w:type="dxa"/>
              <w:right w:w="57" w:type="dxa"/>
            </w:tcMar>
            <w:vAlign w:val="center"/>
          </w:tcPr>
          <w:p w14:paraId="3F917170" w14:textId="77777777" w:rsidR="00CB7F4B" w:rsidRPr="00AF6542" w:rsidRDefault="00CB7F4B" w:rsidP="00BF546F">
            <w:pPr>
              <w:spacing w:line="240" w:lineRule="auto"/>
              <w:jc w:val="right"/>
              <w:textAlignment w:val="center"/>
              <w:rPr>
                <w:rFonts w:eastAsia="Times New Roman" w:cs="Arial"/>
                <w:b/>
                <w:bCs/>
                <w:color w:val="000000" w:themeColor="text1"/>
                <w:kern w:val="24"/>
                <w:sz w:val="16"/>
                <w:szCs w:val="16"/>
                <w:lang w:eastAsia="en-GB"/>
              </w:rPr>
            </w:pPr>
          </w:p>
        </w:tc>
        <w:tc>
          <w:tcPr>
            <w:tcW w:w="2277" w:type="pct"/>
            <w:tcBorders>
              <w:top w:val="single" w:sz="4" w:space="0" w:color="000000"/>
              <w:bottom w:val="single" w:sz="4" w:space="0" w:color="000000"/>
              <w:right w:val="single" w:sz="4" w:space="0" w:color="000000"/>
            </w:tcBorders>
            <w:shd w:val="clear" w:color="auto" w:fill="E4E3E5" w:themeFill="text2" w:themeFillTint="33"/>
            <w:tcMar>
              <w:top w:w="12" w:type="dxa"/>
              <w:left w:w="106" w:type="dxa"/>
              <w:bottom w:w="0" w:type="dxa"/>
              <w:right w:w="12" w:type="dxa"/>
            </w:tcMar>
            <w:vAlign w:val="center"/>
          </w:tcPr>
          <w:p w14:paraId="49B9A2DD" w14:textId="77777777" w:rsidR="00CB7F4B" w:rsidRPr="00AF6542" w:rsidRDefault="00CB7F4B" w:rsidP="00BF546F">
            <w:pPr>
              <w:spacing w:line="240" w:lineRule="auto"/>
              <w:jc w:val="left"/>
              <w:textAlignment w:val="center"/>
              <w:rPr>
                <w:rFonts w:eastAsia="Times New Roman" w:cs="Arial"/>
                <w:b/>
                <w:bCs/>
                <w:color w:val="000000" w:themeColor="text1"/>
                <w:kern w:val="24"/>
                <w:sz w:val="16"/>
                <w:szCs w:val="16"/>
                <w:lang w:eastAsia="en-GB"/>
              </w:rPr>
            </w:pPr>
          </w:p>
        </w:tc>
      </w:tr>
      <w:tr w:rsidR="00CB7F4B" w:rsidRPr="008445A3" w14:paraId="087D2B7B"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1B73215A" w14:textId="77777777" w:rsidR="00CB7F4B" w:rsidRPr="008445A3" w:rsidRDefault="00CB7F4B"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Cost savings</w:t>
            </w:r>
            <w:r w:rsidR="00AF6542">
              <w:rPr>
                <w:rFonts w:eastAsia="Times New Roman" w:cs="Arial"/>
                <w:color w:val="000000" w:themeColor="text1"/>
                <w:kern w:val="24"/>
                <w:sz w:val="16"/>
                <w:szCs w:val="16"/>
                <w:lang w:eastAsia="en-GB"/>
              </w:rPr>
              <w:t xml:space="preserve"> (GHS’000)</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2AD32EF9"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5 000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02BDBF8E"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14 990</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46A6DCC"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10 326</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42030254" w14:textId="77777777" w:rsidR="00CB7F4B" w:rsidRDefault="00AF6542"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Various cost synergies in combined entity</w:t>
            </w:r>
          </w:p>
        </w:tc>
      </w:tr>
      <w:tr w:rsidR="00CB7F4B" w:rsidRPr="008445A3" w14:paraId="6DF45D72"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44F9D4CA" w14:textId="77777777" w:rsidR="00CB7F4B" w:rsidRPr="008445A3" w:rsidRDefault="00CB7F4B"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IT related costs</w:t>
            </w:r>
            <w:r w:rsidR="00AF6542">
              <w:rPr>
                <w:rFonts w:eastAsia="Times New Roman" w:cs="Arial"/>
                <w:color w:val="000000" w:themeColor="text1"/>
                <w:kern w:val="24"/>
                <w:sz w:val="16"/>
                <w:szCs w:val="16"/>
                <w:lang w:eastAsia="en-GB"/>
              </w:rPr>
              <w:t xml:space="preserve"> (GHS’000)</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3F6531AF"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(42 713)</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282FDA6C"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(11 798)</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EDB1E86"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(7673)</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472EEAD9" w14:textId="77777777" w:rsidR="00CB7F4B" w:rsidRDefault="00AF6542"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Development required to move to T24</w:t>
            </w:r>
          </w:p>
        </w:tc>
      </w:tr>
      <w:tr w:rsidR="00CB7F4B" w:rsidRPr="008445A3" w14:paraId="1ABCC9C6" w14:textId="77777777" w:rsidTr="00EF09D5">
        <w:trPr>
          <w:trHeight w:val="267"/>
        </w:trPr>
        <w:tc>
          <w:tcPr>
            <w:tcW w:w="139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52B1DDB7" w14:textId="77777777" w:rsidR="00CB7F4B" w:rsidRPr="008445A3" w:rsidRDefault="00AF6542" w:rsidP="00BF546F">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Funding cost benefit (%)</w:t>
            </w:r>
          </w:p>
        </w:tc>
        <w:tc>
          <w:tcPr>
            <w:tcW w:w="441"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0C93A6B3"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2.2%</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76EE61D"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2.2%</w:t>
            </w:r>
          </w:p>
        </w:tc>
        <w:tc>
          <w:tcPr>
            <w:tcW w:w="442"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47EAC26" w14:textId="77777777" w:rsidR="00CB7F4B" w:rsidRPr="008445A3" w:rsidRDefault="00AF6542" w:rsidP="00BF546F">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2.2%</w:t>
            </w:r>
          </w:p>
        </w:tc>
        <w:tc>
          <w:tcPr>
            <w:tcW w:w="2277"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5A9ED777" w14:textId="77777777" w:rsidR="00CB7F4B" w:rsidRDefault="00AF6542" w:rsidP="00BF546F">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FSR credit benefit</w:t>
            </w:r>
          </w:p>
        </w:tc>
      </w:tr>
    </w:tbl>
    <w:p w14:paraId="579566BA" w14:textId="77777777" w:rsidR="0011667A" w:rsidRDefault="0011667A" w:rsidP="00C36516">
      <w:pPr>
        <w:pStyle w:val="ListParagraph"/>
      </w:pPr>
    </w:p>
    <w:p w14:paraId="1992D772" w14:textId="77777777" w:rsidR="00EF09D5" w:rsidRPr="00EF09D5" w:rsidRDefault="00EF09D5" w:rsidP="00EF09D5">
      <w:pPr>
        <w:rPr>
          <w:b/>
        </w:rPr>
      </w:pPr>
      <w:r w:rsidRPr="00EF09D5">
        <w:rPr>
          <w:b/>
        </w:rPr>
        <w:t>Financial model output</w:t>
      </w:r>
    </w:p>
    <w:p w14:paraId="315FFD24" w14:textId="77777777" w:rsidR="00EF09D5" w:rsidRDefault="00EF09D5" w:rsidP="00C36516">
      <w:pPr>
        <w:pStyle w:val="ListParagraph"/>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1314"/>
        <w:gridCol w:w="1314"/>
        <w:gridCol w:w="1314"/>
        <w:gridCol w:w="1314"/>
        <w:gridCol w:w="1295"/>
      </w:tblGrid>
      <w:tr w:rsidR="00D36801" w:rsidRPr="00D36801" w14:paraId="0C899B32" w14:textId="77777777" w:rsidTr="000F5D58">
        <w:trPr>
          <w:trHeight w:val="405"/>
        </w:trPr>
        <w:tc>
          <w:tcPr>
            <w:tcW w:w="1599" w:type="pct"/>
            <w:shd w:val="clear" w:color="auto" w:fill="FDF1A3"/>
            <w:noWrap/>
            <w:vAlign w:val="center"/>
            <w:hideMark/>
          </w:tcPr>
          <w:p w14:paraId="4A7F27EB"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Income statement</w:t>
            </w:r>
          </w:p>
        </w:tc>
        <w:tc>
          <w:tcPr>
            <w:tcW w:w="1364" w:type="pct"/>
            <w:gridSpan w:val="2"/>
            <w:shd w:val="clear" w:color="auto" w:fill="FDF1A3"/>
            <w:noWrap/>
            <w:vAlign w:val="center"/>
            <w:hideMark/>
          </w:tcPr>
          <w:p w14:paraId="0B2B340C"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Standalone</w:t>
            </w:r>
          </w:p>
        </w:tc>
        <w:tc>
          <w:tcPr>
            <w:tcW w:w="2036" w:type="pct"/>
            <w:gridSpan w:val="3"/>
            <w:tcBorders>
              <w:bottom w:val="single" w:sz="4" w:space="0" w:color="auto"/>
            </w:tcBorders>
            <w:shd w:val="clear" w:color="auto" w:fill="FDF1A3"/>
            <w:noWrap/>
            <w:vAlign w:val="center"/>
            <w:hideMark/>
          </w:tcPr>
          <w:p w14:paraId="13786363"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Combined FNB Ghana and GHL Bank</w:t>
            </w:r>
          </w:p>
        </w:tc>
      </w:tr>
      <w:tr w:rsidR="00D36801" w:rsidRPr="00D36801" w14:paraId="0CA7B7A9" w14:textId="77777777" w:rsidTr="000F5D58">
        <w:trPr>
          <w:trHeight w:val="240"/>
        </w:trPr>
        <w:tc>
          <w:tcPr>
            <w:tcW w:w="1599" w:type="pct"/>
            <w:shd w:val="clear" w:color="000000" w:fill="D9D9D9"/>
            <w:noWrap/>
            <w:vAlign w:val="center"/>
            <w:hideMark/>
          </w:tcPr>
          <w:p w14:paraId="1613728E"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w:t>
            </w:r>
          </w:p>
        </w:tc>
        <w:tc>
          <w:tcPr>
            <w:tcW w:w="682" w:type="pct"/>
            <w:shd w:val="clear" w:color="000000" w:fill="D9D9D9"/>
            <w:noWrap/>
            <w:vAlign w:val="center"/>
            <w:hideMark/>
          </w:tcPr>
          <w:p w14:paraId="031E7D91"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FNB Ghana</w:t>
            </w:r>
          </w:p>
        </w:tc>
        <w:tc>
          <w:tcPr>
            <w:tcW w:w="682" w:type="pct"/>
            <w:shd w:val="clear" w:color="000000" w:fill="D9D9D9"/>
            <w:noWrap/>
            <w:vAlign w:val="center"/>
            <w:hideMark/>
          </w:tcPr>
          <w:p w14:paraId="43C3DE32"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GHL Bank</w:t>
            </w:r>
          </w:p>
        </w:tc>
        <w:tc>
          <w:tcPr>
            <w:tcW w:w="682" w:type="pct"/>
            <w:tcBorders>
              <w:right w:val="nil"/>
            </w:tcBorders>
            <w:shd w:val="clear" w:color="000000" w:fill="D9D9D9"/>
            <w:noWrap/>
            <w:vAlign w:val="center"/>
            <w:hideMark/>
          </w:tcPr>
          <w:p w14:paraId="4C2FF8AF"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w:t>
            </w:r>
          </w:p>
        </w:tc>
        <w:tc>
          <w:tcPr>
            <w:tcW w:w="682" w:type="pct"/>
            <w:tcBorders>
              <w:left w:val="nil"/>
              <w:right w:val="nil"/>
            </w:tcBorders>
            <w:shd w:val="clear" w:color="000000" w:fill="D9D9D9"/>
            <w:noWrap/>
            <w:vAlign w:val="center"/>
            <w:hideMark/>
          </w:tcPr>
          <w:p w14:paraId="67643E38"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w:t>
            </w:r>
          </w:p>
        </w:tc>
        <w:tc>
          <w:tcPr>
            <w:tcW w:w="672" w:type="pct"/>
            <w:tcBorders>
              <w:left w:val="nil"/>
            </w:tcBorders>
            <w:shd w:val="clear" w:color="000000" w:fill="D9D9D9"/>
            <w:noWrap/>
            <w:vAlign w:val="center"/>
            <w:hideMark/>
          </w:tcPr>
          <w:p w14:paraId="0BB3D2B9"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w:t>
            </w:r>
          </w:p>
        </w:tc>
      </w:tr>
      <w:tr w:rsidR="00D36801" w:rsidRPr="00D36801" w14:paraId="535DF2C3" w14:textId="77777777" w:rsidTr="00EF09D5">
        <w:trPr>
          <w:trHeight w:val="240"/>
        </w:trPr>
        <w:tc>
          <w:tcPr>
            <w:tcW w:w="1599" w:type="pct"/>
            <w:shd w:val="clear" w:color="auto" w:fill="E3EBEE" w:themeFill="accent5" w:themeFillTint="33"/>
            <w:noWrap/>
            <w:vAlign w:val="center"/>
            <w:hideMark/>
          </w:tcPr>
          <w:p w14:paraId="193D8791"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xml:space="preserve">GHS (‘000) </w:t>
            </w:r>
          </w:p>
        </w:tc>
        <w:tc>
          <w:tcPr>
            <w:tcW w:w="682" w:type="pct"/>
            <w:shd w:val="clear" w:color="auto" w:fill="E3EBEE" w:themeFill="accent5" w:themeFillTint="33"/>
            <w:noWrap/>
            <w:vAlign w:val="center"/>
            <w:hideMark/>
          </w:tcPr>
          <w:p w14:paraId="68868FDA"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2" w:type="pct"/>
            <w:shd w:val="clear" w:color="auto" w:fill="E3EBEE" w:themeFill="accent5" w:themeFillTint="33"/>
            <w:noWrap/>
            <w:vAlign w:val="center"/>
            <w:hideMark/>
          </w:tcPr>
          <w:p w14:paraId="0D4997A8"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2" w:type="pct"/>
            <w:shd w:val="clear" w:color="auto" w:fill="E3EBEE" w:themeFill="accent5" w:themeFillTint="33"/>
            <w:noWrap/>
            <w:vAlign w:val="center"/>
            <w:hideMark/>
          </w:tcPr>
          <w:p w14:paraId="5B4BCC5D"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Dec-19</w:t>
            </w:r>
          </w:p>
        </w:tc>
        <w:tc>
          <w:tcPr>
            <w:tcW w:w="682" w:type="pct"/>
            <w:shd w:val="clear" w:color="auto" w:fill="E3EBEE" w:themeFill="accent5" w:themeFillTint="33"/>
            <w:noWrap/>
            <w:vAlign w:val="center"/>
            <w:hideMark/>
          </w:tcPr>
          <w:p w14:paraId="05EBFECE"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Dec-20</w:t>
            </w:r>
          </w:p>
        </w:tc>
        <w:tc>
          <w:tcPr>
            <w:tcW w:w="672" w:type="pct"/>
            <w:shd w:val="clear" w:color="auto" w:fill="E3EBEE" w:themeFill="accent5" w:themeFillTint="33"/>
            <w:noWrap/>
            <w:vAlign w:val="center"/>
            <w:hideMark/>
          </w:tcPr>
          <w:p w14:paraId="499AD158"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Dec-21</w:t>
            </w:r>
          </w:p>
        </w:tc>
      </w:tr>
      <w:tr w:rsidR="00B6382B" w:rsidRPr="00D36801" w14:paraId="6900D389" w14:textId="77777777" w:rsidTr="00EF09D5">
        <w:trPr>
          <w:trHeight w:val="240"/>
        </w:trPr>
        <w:tc>
          <w:tcPr>
            <w:tcW w:w="1599" w:type="pct"/>
            <w:shd w:val="clear" w:color="000000" w:fill="FFFFFF"/>
            <w:noWrap/>
            <w:vAlign w:val="center"/>
            <w:hideMark/>
          </w:tcPr>
          <w:p w14:paraId="5636FBDB"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Gross interest income </w:t>
            </w:r>
          </w:p>
        </w:tc>
        <w:tc>
          <w:tcPr>
            <w:tcW w:w="682" w:type="pct"/>
            <w:shd w:val="clear" w:color="000000" w:fill="FFFFFF"/>
            <w:noWrap/>
            <w:vAlign w:val="center"/>
            <w:hideMark/>
          </w:tcPr>
          <w:p w14:paraId="1668D24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34 124 </w:t>
            </w:r>
          </w:p>
        </w:tc>
        <w:tc>
          <w:tcPr>
            <w:tcW w:w="682" w:type="pct"/>
            <w:shd w:val="clear" w:color="000000" w:fill="FFFFFF"/>
            <w:noWrap/>
            <w:vAlign w:val="center"/>
            <w:hideMark/>
          </w:tcPr>
          <w:p w14:paraId="4E58DAB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79 383 </w:t>
            </w:r>
          </w:p>
        </w:tc>
        <w:tc>
          <w:tcPr>
            <w:tcW w:w="682" w:type="pct"/>
            <w:shd w:val="clear" w:color="000000" w:fill="FFFFFF"/>
            <w:noWrap/>
            <w:vAlign w:val="center"/>
            <w:hideMark/>
          </w:tcPr>
          <w:p w14:paraId="41CAA8C5"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170 906 </w:t>
            </w:r>
          </w:p>
        </w:tc>
        <w:tc>
          <w:tcPr>
            <w:tcW w:w="682" w:type="pct"/>
            <w:shd w:val="clear" w:color="000000" w:fill="FFFFFF"/>
            <w:noWrap/>
            <w:vAlign w:val="center"/>
            <w:hideMark/>
          </w:tcPr>
          <w:p w14:paraId="16B959B2"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236 317 </w:t>
            </w:r>
          </w:p>
        </w:tc>
        <w:tc>
          <w:tcPr>
            <w:tcW w:w="672" w:type="pct"/>
            <w:shd w:val="clear" w:color="000000" w:fill="FFFFFF"/>
            <w:noWrap/>
            <w:vAlign w:val="center"/>
            <w:hideMark/>
          </w:tcPr>
          <w:p w14:paraId="5FB2CA1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338 869 </w:t>
            </w:r>
          </w:p>
        </w:tc>
      </w:tr>
      <w:tr w:rsidR="00B6382B" w:rsidRPr="00D36801" w14:paraId="3DF13B3D" w14:textId="77777777" w:rsidTr="00EF09D5">
        <w:trPr>
          <w:trHeight w:val="240"/>
        </w:trPr>
        <w:tc>
          <w:tcPr>
            <w:tcW w:w="1599" w:type="pct"/>
            <w:shd w:val="clear" w:color="000000" w:fill="FFFFFF"/>
            <w:noWrap/>
            <w:vAlign w:val="center"/>
            <w:hideMark/>
          </w:tcPr>
          <w:p w14:paraId="5FC02B86"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Interest expense </w:t>
            </w:r>
          </w:p>
        </w:tc>
        <w:tc>
          <w:tcPr>
            <w:tcW w:w="682" w:type="pct"/>
            <w:shd w:val="clear" w:color="000000" w:fill="FFFFFF"/>
            <w:noWrap/>
            <w:vAlign w:val="center"/>
            <w:hideMark/>
          </w:tcPr>
          <w:p w14:paraId="6A529E13"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(12 398)</w:t>
            </w:r>
          </w:p>
        </w:tc>
        <w:tc>
          <w:tcPr>
            <w:tcW w:w="682" w:type="pct"/>
            <w:shd w:val="clear" w:color="000000" w:fill="FFFFFF"/>
            <w:noWrap/>
            <w:vAlign w:val="center"/>
            <w:hideMark/>
          </w:tcPr>
          <w:p w14:paraId="7E873C67"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(27 260)</w:t>
            </w:r>
          </w:p>
        </w:tc>
        <w:tc>
          <w:tcPr>
            <w:tcW w:w="682" w:type="pct"/>
            <w:shd w:val="clear" w:color="000000" w:fill="FFFFFF"/>
            <w:noWrap/>
            <w:vAlign w:val="center"/>
            <w:hideMark/>
          </w:tcPr>
          <w:p w14:paraId="25254523"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(49 467)</w:t>
            </w:r>
          </w:p>
        </w:tc>
        <w:tc>
          <w:tcPr>
            <w:tcW w:w="682" w:type="pct"/>
            <w:shd w:val="clear" w:color="000000" w:fill="FFFFFF"/>
            <w:noWrap/>
            <w:vAlign w:val="center"/>
            <w:hideMark/>
          </w:tcPr>
          <w:p w14:paraId="21DA242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(76 386)</w:t>
            </w:r>
          </w:p>
        </w:tc>
        <w:tc>
          <w:tcPr>
            <w:tcW w:w="672" w:type="pct"/>
            <w:shd w:val="clear" w:color="000000" w:fill="FFFFFF"/>
            <w:noWrap/>
            <w:vAlign w:val="center"/>
            <w:hideMark/>
          </w:tcPr>
          <w:p w14:paraId="48AA0792"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(112 402)</w:t>
            </w:r>
          </w:p>
        </w:tc>
      </w:tr>
      <w:tr w:rsidR="00B6382B" w:rsidRPr="00D36801" w14:paraId="40B20D30" w14:textId="77777777" w:rsidTr="00EF09D5">
        <w:trPr>
          <w:trHeight w:val="240"/>
        </w:trPr>
        <w:tc>
          <w:tcPr>
            <w:tcW w:w="1599" w:type="pct"/>
            <w:shd w:val="clear" w:color="000000" w:fill="FFFFFF"/>
            <w:noWrap/>
            <w:vAlign w:val="center"/>
            <w:hideMark/>
          </w:tcPr>
          <w:p w14:paraId="6A7A6CC6" w14:textId="77777777" w:rsidR="00B6382B" w:rsidRPr="00D36801" w:rsidRDefault="00B6382B" w:rsidP="00B6382B">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xml:space="preserve">Net interest income </w:t>
            </w:r>
          </w:p>
        </w:tc>
        <w:tc>
          <w:tcPr>
            <w:tcW w:w="682" w:type="pct"/>
            <w:shd w:val="clear" w:color="000000" w:fill="FFFFFF"/>
            <w:noWrap/>
            <w:vAlign w:val="center"/>
            <w:hideMark/>
          </w:tcPr>
          <w:p w14:paraId="75ABCB0F"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B6382B">
              <w:rPr>
                <w:rFonts w:cs="Arial"/>
                <w:b/>
                <w:bCs/>
                <w:sz w:val="16"/>
                <w:szCs w:val="16"/>
                <w:lang w:val="en-US"/>
              </w:rPr>
              <w:t xml:space="preserve">21 726 </w:t>
            </w:r>
          </w:p>
        </w:tc>
        <w:tc>
          <w:tcPr>
            <w:tcW w:w="682" w:type="pct"/>
            <w:shd w:val="clear" w:color="000000" w:fill="FFFFFF"/>
            <w:noWrap/>
            <w:vAlign w:val="center"/>
            <w:hideMark/>
          </w:tcPr>
          <w:p w14:paraId="5A99E433"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xml:space="preserve">52 124 </w:t>
            </w:r>
          </w:p>
        </w:tc>
        <w:tc>
          <w:tcPr>
            <w:tcW w:w="682" w:type="pct"/>
            <w:shd w:val="clear" w:color="000000" w:fill="FFFFFF"/>
            <w:noWrap/>
            <w:vAlign w:val="center"/>
            <w:hideMark/>
          </w:tcPr>
          <w:p w14:paraId="5CD46C24"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121 439 </w:t>
            </w:r>
          </w:p>
        </w:tc>
        <w:tc>
          <w:tcPr>
            <w:tcW w:w="682" w:type="pct"/>
            <w:shd w:val="clear" w:color="000000" w:fill="FFFFFF"/>
            <w:noWrap/>
            <w:vAlign w:val="center"/>
            <w:hideMark/>
          </w:tcPr>
          <w:p w14:paraId="5C458555"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159 931 </w:t>
            </w:r>
          </w:p>
        </w:tc>
        <w:tc>
          <w:tcPr>
            <w:tcW w:w="672" w:type="pct"/>
            <w:shd w:val="clear" w:color="000000" w:fill="FFFFFF"/>
            <w:noWrap/>
            <w:vAlign w:val="center"/>
            <w:hideMark/>
          </w:tcPr>
          <w:p w14:paraId="7218E910"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226 468 </w:t>
            </w:r>
          </w:p>
        </w:tc>
      </w:tr>
      <w:tr w:rsidR="00B6382B" w:rsidRPr="00D36801" w14:paraId="40B7E781" w14:textId="77777777" w:rsidTr="00EF09D5">
        <w:trPr>
          <w:trHeight w:val="240"/>
        </w:trPr>
        <w:tc>
          <w:tcPr>
            <w:tcW w:w="1599" w:type="pct"/>
            <w:shd w:val="clear" w:color="000000" w:fill="FFFFFF"/>
            <w:noWrap/>
            <w:vAlign w:val="center"/>
            <w:hideMark/>
          </w:tcPr>
          <w:p w14:paraId="09B0C661"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eastAsia="en-GB"/>
              </w:rPr>
              <w:t xml:space="preserve">Impairments </w:t>
            </w:r>
          </w:p>
        </w:tc>
        <w:tc>
          <w:tcPr>
            <w:tcW w:w="682" w:type="pct"/>
            <w:shd w:val="clear" w:color="000000" w:fill="FFFFFF"/>
            <w:noWrap/>
            <w:vAlign w:val="center"/>
            <w:hideMark/>
          </w:tcPr>
          <w:p w14:paraId="5DB725D8"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rPr>
              <w:t>(4 898)</w:t>
            </w:r>
          </w:p>
        </w:tc>
        <w:tc>
          <w:tcPr>
            <w:tcW w:w="682" w:type="pct"/>
            <w:shd w:val="clear" w:color="000000" w:fill="FFFFFF"/>
            <w:noWrap/>
            <w:vAlign w:val="center"/>
            <w:hideMark/>
          </w:tcPr>
          <w:p w14:paraId="5633A88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w:t>
            </w:r>
          </w:p>
        </w:tc>
        <w:tc>
          <w:tcPr>
            <w:tcW w:w="682" w:type="pct"/>
            <w:shd w:val="clear" w:color="000000" w:fill="FFFFFF"/>
            <w:noWrap/>
            <w:vAlign w:val="center"/>
            <w:hideMark/>
          </w:tcPr>
          <w:p w14:paraId="16D64EAB"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(21 240)</w:t>
            </w:r>
          </w:p>
        </w:tc>
        <w:tc>
          <w:tcPr>
            <w:tcW w:w="682" w:type="pct"/>
            <w:shd w:val="clear" w:color="000000" w:fill="FFFFFF"/>
            <w:noWrap/>
            <w:vAlign w:val="center"/>
            <w:hideMark/>
          </w:tcPr>
          <w:p w14:paraId="3694ABF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(23 766)</w:t>
            </w:r>
          </w:p>
        </w:tc>
        <w:tc>
          <w:tcPr>
            <w:tcW w:w="672" w:type="pct"/>
            <w:shd w:val="clear" w:color="000000" w:fill="FFFFFF"/>
            <w:noWrap/>
            <w:vAlign w:val="center"/>
            <w:hideMark/>
          </w:tcPr>
          <w:p w14:paraId="0097201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(30 182)</w:t>
            </w:r>
          </w:p>
        </w:tc>
      </w:tr>
      <w:tr w:rsidR="00B6382B" w:rsidRPr="00D36801" w14:paraId="67528848" w14:textId="77777777" w:rsidTr="00EF09D5">
        <w:trPr>
          <w:trHeight w:val="240"/>
        </w:trPr>
        <w:tc>
          <w:tcPr>
            <w:tcW w:w="1599" w:type="pct"/>
            <w:shd w:val="clear" w:color="000000" w:fill="FFFFFF"/>
            <w:noWrap/>
            <w:vAlign w:val="center"/>
            <w:hideMark/>
          </w:tcPr>
          <w:p w14:paraId="6A391A13"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Non-interest revenue </w:t>
            </w:r>
          </w:p>
        </w:tc>
        <w:tc>
          <w:tcPr>
            <w:tcW w:w="682" w:type="pct"/>
            <w:shd w:val="clear" w:color="000000" w:fill="FFFFFF"/>
            <w:noWrap/>
            <w:vAlign w:val="center"/>
            <w:hideMark/>
          </w:tcPr>
          <w:p w14:paraId="2BAA4AE2"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26 424 </w:t>
            </w:r>
          </w:p>
        </w:tc>
        <w:tc>
          <w:tcPr>
            <w:tcW w:w="682" w:type="pct"/>
            <w:shd w:val="clear" w:color="000000" w:fill="FFFFFF"/>
            <w:noWrap/>
            <w:vAlign w:val="center"/>
            <w:hideMark/>
          </w:tcPr>
          <w:p w14:paraId="3F077CD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xml:space="preserve">20 343 </w:t>
            </w:r>
          </w:p>
        </w:tc>
        <w:tc>
          <w:tcPr>
            <w:tcW w:w="682" w:type="pct"/>
            <w:shd w:val="clear" w:color="000000" w:fill="FFFFFF"/>
            <w:noWrap/>
            <w:vAlign w:val="center"/>
            <w:hideMark/>
          </w:tcPr>
          <w:p w14:paraId="1D4E3667"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37 340 </w:t>
            </w:r>
          </w:p>
        </w:tc>
        <w:tc>
          <w:tcPr>
            <w:tcW w:w="682" w:type="pct"/>
            <w:shd w:val="clear" w:color="000000" w:fill="FFFFFF"/>
            <w:noWrap/>
            <w:vAlign w:val="center"/>
            <w:hideMark/>
          </w:tcPr>
          <w:p w14:paraId="5C89DA85"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52 714 </w:t>
            </w:r>
          </w:p>
        </w:tc>
        <w:tc>
          <w:tcPr>
            <w:tcW w:w="672" w:type="pct"/>
            <w:shd w:val="clear" w:color="000000" w:fill="FFFFFF"/>
            <w:noWrap/>
            <w:vAlign w:val="center"/>
            <w:hideMark/>
          </w:tcPr>
          <w:p w14:paraId="2F90F6A3"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72 723 </w:t>
            </w:r>
          </w:p>
        </w:tc>
      </w:tr>
      <w:tr w:rsidR="00B6382B" w:rsidRPr="00D36801" w14:paraId="0223A716" w14:textId="77777777" w:rsidTr="00EF09D5">
        <w:trPr>
          <w:trHeight w:val="240"/>
        </w:trPr>
        <w:tc>
          <w:tcPr>
            <w:tcW w:w="1599" w:type="pct"/>
            <w:shd w:val="clear" w:color="000000" w:fill="FFFFFF"/>
            <w:noWrap/>
            <w:vAlign w:val="center"/>
            <w:hideMark/>
          </w:tcPr>
          <w:p w14:paraId="64430D6B"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Operating expenses </w:t>
            </w:r>
          </w:p>
        </w:tc>
        <w:tc>
          <w:tcPr>
            <w:tcW w:w="682" w:type="pct"/>
            <w:shd w:val="clear" w:color="000000" w:fill="FFFFFF"/>
            <w:noWrap/>
            <w:vAlign w:val="center"/>
            <w:hideMark/>
          </w:tcPr>
          <w:p w14:paraId="7B66A4D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(80 967)</w:t>
            </w:r>
          </w:p>
        </w:tc>
        <w:tc>
          <w:tcPr>
            <w:tcW w:w="682" w:type="pct"/>
            <w:shd w:val="clear" w:color="000000" w:fill="FFFFFF"/>
            <w:noWrap/>
            <w:vAlign w:val="center"/>
            <w:hideMark/>
          </w:tcPr>
          <w:p w14:paraId="2BCF1703"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(64 334)</w:t>
            </w:r>
          </w:p>
        </w:tc>
        <w:tc>
          <w:tcPr>
            <w:tcW w:w="682" w:type="pct"/>
            <w:shd w:val="clear" w:color="000000" w:fill="FFFFFF"/>
            <w:noWrap/>
            <w:vAlign w:val="center"/>
            <w:hideMark/>
          </w:tcPr>
          <w:p w14:paraId="42B2A36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(192 844)</w:t>
            </w:r>
          </w:p>
        </w:tc>
        <w:tc>
          <w:tcPr>
            <w:tcW w:w="682" w:type="pct"/>
            <w:shd w:val="clear" w:color="000000" w:fill="FFFFFF"/>
            <w:noWrap/>
            <w:vAlign w:val="center"/>
            <w:hideMark/>
          </w:tcPr>
          <w:p w14:paraId="5A34AEE4"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(174 100)</w:t>
            </w:r>
          </w:p>
        </w:tc>
        <w:tc>
          <w:tcPr>
            <w:tcW w:w="672" w:type="pct"/>
            <w:shd w:val="clear" w:color="000000" w:fill="FFFFFF"/>
            <w:noWrap/>
            <w:vAlign w:val="center"/>
            <w:hideMark/>
          </w:tcPr>
          <w:p w14:paraId="32264B4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(194 097)</w:t>
            </w:r>
          </w:p>
        </w:tc>
      </w:tr>
      <w:tr w:rsidR="00B6382B" w:rsidRPr="00D36801" w14:paraId="67803F1B" w14:textId="77777777" w:rsidTr="00EF09D5">
        <w:trPr>
          <w:trHeight w:val="240"/>
        </w:trPr>
        <w:tc>
          <w:tcPr>
            <w:tcW w:w="1599" w:type="pct"/>
            <w:shd w:val="clear" w:color="000000" w:fill="FFFFFF"/>
            <w:noWrap/>
            <w:vAlign w:val="center"/>
            <w:hideMark/>
          </w:tcPr>
          <w:p w14:paraId="2CCDAFDD" w14:textId="77777777" w:rsidR="00B6382B" w:rsidRPr="00D36801" w:rsidRDefault="00B6382B" w:rsidP="00B6382B">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lastRenderedPageBreak/>
              <w:t xml:space="preserve">Profit before tax </w:t>
            </w:r>
          </w:p>
        </w:tc>
        <w:tc>
          <w:tcPr>
            <w:tcW w:w="682" w:type="pct"/>
            <w:shd w:val="clear" w:color="000000" w:fill="FFFFFF"/>
            <w:noWrap/>
            <w:vAlign w:val="center"/>
            <w:hideMark/>
          </w:tcPr>
          <w:p w14:paraId="69E085F4"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B6382B">
              <w:rPr>
                <w:rFonts w:cs="Arial"/>
                <w:b/>
                <w:bCs/>
                <w:sz w:val="16"/>
                <w:szCs w:val="16"/>
                <w:lang w:val="en-US"/>
              </w:rPr>
              <w:t>(37 714)</w:t>
            </w:r>
          </w:p>
        </w:tc>
        <w:tc>
          <w:tcPr>
            <w:tcW w:w="682" w:type="pct"/>
            <w:shd w:val="clear" w:color="000000" w:fill="FFFFFF"/>
            <w:noWrap/>
            <w:vAlign w:val="center"/>
            <w:hideMark/>
          </w:tcPr>
          <w:p w14:paraId="657FDC39"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xml:space="preserve">8 133 </w:t>
            </w:r>
          </w:p>
        </w:tc>
        <w:tc>
          <w:tcPr>
            <w:tcW w:w="682" w:type="pct"/>
            <w:shd w:val="clear" w:color="000000" w:fill="FFFFFF"/>
            <w:noWrap/>
            <w:vAlign w:val="center"/>
            <w:hideMark/>
          </w:tcPr>
          <w:p w14:paraId="753056D6"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(55 305)</w:t>
            </w:r>
          </w:p>
        </w:tc>
        <w:tc>
          <w:tcPr>
            <w:tcW w:w="682" w:type="pct"/>
            <w:shd w:val="clear" w:color="000000" w:fill="FFFFFF"/>
            <w:noWrap/>
            <w:vAlign w:val="center"/>
            <w:hideMark/>
          </w:tcPr>
          <w:p w14:paraId="5A8051AB"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14 780 </w:t>
            </w:r>
          </w:p>
        </w:tc>
        <w:tc>
          <w:tcPr>
            <w:tcW w:w="672" w:type="pct"/>
            <w:shd w:val="clear" w:color="000000" w:fill="FFFFFF"/>
            <w:noWrap/>
            <w:vAlign w:val="center"/>
            <w:hideMark/>
          </w:tcPr>
          <w:p w14:paraId="07C9E5C4"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74 912 </w:t>
            </w:r>
          </w:p>
        </w:tc>
      </w:tr>
      <w:tr w:rsidR="00B6382B" w:rsidRPr="00D36801" w14:paraId="3E9C385F" w14:textId="77777777" w:rsidTr="00EF09D5">
        <w:trPr>
          <w:trHeight w:val="240"/>
        </w:trPr>
        <w:tc>
          <w:tcPr>
            <w:tcW w:w="1599" w:type="pct"/>
            <w:shd w:val="clear" w:color="000000" w:fill="FFFFFF"/>
            <w:noWrap/>
            <w:vAlign w:val="center"/>
            <w:hideMark/>
          </w:tcPr>
          <w:p w14:paraId="3E01E3C6"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Tax </w:t>
            </w:r>
          </w:p>
        </w:tc>
        <w:tc>
          <w:tcPr>
            <w:tcW w:w="682" w:type="pct"/>
            <w:shd w:val="clear" w:color="000000" w:fill="FFFFFF"/>
            <w:noWrap/>
            <w:vAlign w:val="center"/>
            <w:hideMark/>
          </w:tcPr>
          <w:p w14:paraId="698BEB2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 </w:t>
            </w:r>
          </w:p>
        </w:tc>
        <w:tc>
          <w:tcPr>
            <w:tcW w:w="682" w:type="pct"/>
            <w:shd w:val="clear" w:color="000000" w:fill="FFFFFF"/>
            <w:noWrap/>
            <w:vAlign w:val="center"/>
            <w:hideMark/>
          </w:tcPr>
          <w:p w14:paraId="37C961A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(3 554)</w:t>
            </w:r>
          </w:p>
        </w:tc>
        <w:tc>
          <w:tcPr>
            <w:tcW w:w="682" w:type="pct"/>
            <w:shd w:val="clear" w:color="000000" w:fill="FFFFFF"/>
            <w:noWrap/>
            <w:vAlign w:val="center"/>
            <w:hideMark/>
          </w:tcPr>
          <w:p w14:paraId="43B3403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 </w:t>
            </w:r>
          </w:p>
        </w:tc>
        <w:tc>
          <w:tcPr>
            <w:tcW w:w="682" w:type="pct"/>
            <w:shd w:val="clear" w:color="000000" w:fill="FFFFFF"/>
            <w:noWrap/>
            <w:vAlign w:val="center"/>
            <w:hideMark/>
          </w:tcPr>
          <w:p w14:paraId="4EB473C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(3 695)</w:t>
            </w:r>
          </w:p>
        </w:tc>
        <w:tc>
          <w:tcPr>
            <w:tcW w:w="672" w:type="pct"/>
            <w:shd w:val="clear" w:color="000000" w:fill="FFFFFF"/>
            <w:noWrap/>
            <w:vAlign w:val="center"/>
            <w:hideMark/>
          </w:tcPr>
          <w:p w14:paraId="7BCB3AD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(9 039)</w:t>
            </w:r>
          </w:p>
        </w:tc>
      </w:tr>
      <w:tr w:rsidR="00B6382B" w:rsidRPr="00D36801" w14:paraId="587CD853" w14:textId="77777777" w:rsidTr="00EF09D5">
        <w:trPr>
          <w:trHeight w:val="240"/>
        </w:trPr>
        <w:tc>
          <w:tcPr>
            <w:tcW w:w="1599" w:type="pct"/>
            <w:shd w:val="clear" w:color="000000" w:fill="FFFFFF"/>
            <w:noWrap/>
            <w:vAlign w:val="bottom"/>
            <w:hideMark/>
          </w:tcPr>
          <w:p w14:paraId="0A2B6344" w14:textId="77777777" w:rsidR="00B6382B" w:rsidRPr="00D36801" w:rsidRDefault="00B6382B" w:rsidP="00B6382B">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xml:space="preserve">Profit after tax </w:t>
            </w:r>
          </w:p>
        </w:tc>
        <w:tc>
          <w:tcPr>
            <w:tcW w:w="682" w:type="pct"/>
            <w:shd w:val="clear" w:color="000000" w:fill="FFFFFF"/>
            <w:noWrap/>
            <w:vAlign w:val="bottom"/>
            <w:hideMark/>
          </w:tcPr>
          <w:p w14:paraId="3D8BD782"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B6382B">
              <w:rPr>
                <w:rFonts w:cs="Arial"/>
                <w:b/>
                <w:bCs/>
                <w:sz w:val="16"/>
                <w:szCs w:val="16"/>
                <w:lang w:val="en-US"/>
              </w:rPr>
              <w:t>(37 714)</w:t>
            </w:r>
          </w:p>
        </w:tc>
        <w:tc>
          <w:tcPr>
            <w:tcW w:w="682" w:type="pct"/>
            <w:shd w:val="clear" w:color="000000" w:fill="FFFFFF"/>
            <w:noWrap/>
            <w:vAlign w:val="bottom"/>
            <w:hideMark/>
          </w:tcPr>
          <w:p w14:paraId="38D76BB8"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xml:space="preserve">4 579 </w:t>
            </w:r>
          </w:p>
        </w:tc>
        <w:tc>
          <w:tcPr>
            <w:tcW w:w="682" w:type="pct"/>
            <w:shd w:val="clear" w:color="000000" w:fill="FFFFFF"/>
            <w:noWrap/>
            <w:vAlign w:val="bottom"/>
            <w:hideMark/>
          </w:tcPr>
          <w:p w14:paraId="3B4C5559"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(55 305)</w:t>
            </w:r>
          </w:p>
        </w:tc>
        <w:tc>
          <w:tcPr>
            <w:tcW w:w="682" w:type="pct"/>
            <w:shd w:val="clear" w:color="000000" w:fill="FFFFFF"/>
            <w:noWrap/>
            <w:vAlign w:val="bottom"/>
            <w:hideMark/>
          </w:tcPr>
          <w:p w14:paraId="7A73198F"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11 085 </w:t>
            </w:r>
          </w:p>
        </w:tc>
        <w:tc>
          <w:tcPr>
            <w:tcW w:w="672" w:type="pct"/>
            <w:shd w:val="clear" w:color="000000" w:fill="FFFFFF"/>
            <w:noWrap/>
            <w:vAlign w:val="bottom"/>
            <w:hideMark/>
          </w:tcPr>
          <w:p w14:paraId="2CA8882C"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65 872 </w:t>
            </w:r>
          </w:p>
        </w:tc>
      </w:tr>
    </w:tbl>
    <w:p w14:paraId="4883C7E9" w14:textId="77777777" w:rsidR="0011667A" w:rsidRDefault="0011667A" w:rsidP="00C36516">
      <w:pPr>
        <w:pStyle w:val="ListParagrap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310"/>
        <w:gridCol w:w="1309"/>
        <w:gridCol w:w="1309"/>
        <w:gridCol w:w="1309"/>
        <w:gridCol w:w="1313"/>
      </w:tblGrid>
      <w:tr w:rsidR="00B6382B" w:rsidRPr="00D36801" w14:paraId="71556E37" w14:textId="77777777" w:rsidTr="000F5D58">
        <w:trPr>
          <w:trHeight w:val="405"/>
        </w:trPr>
        <w:tc>
          <w:tcPr>
            <w:tcW w:w="1598" w:type="pct"/>
            <w:shd w:val="clear" w:color="auto" w:fill="FDF1A3" w:themeFill="accent1" w:themeFillTint="99"/>
            <w:noWrap/>
            <w:vAlign w:val="center"/>
            <w:hideMark/>
          </w:tcPr>
          <w:p w14:paraId="029914BC"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Balance sheet</w:t>
            </w:r>
          </w:p>
        </w:tc>
        <w:tc>
          <w:tcPr>
            <w:tcW w:w="1360" w:type="pct"/>
            <w:gridSpan w:val="2"/>
            <w:shd w:val="clear" w:color="auto" w:fill="FDF1A3" w:themeFill="accent1" w:themeFillTint="99"/>
            <w:noWrap/>
            <w:vAlign w:val="center"/>
            <w:hideMark/>
          </w:tcPr>
          <w:p w14:paraId="45BD10AA"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Standalone</w:t>
            </w:r>
          </w:p>
        </w:tc>
        <w:tc>
          <w:tcPr>
            <w:tcW w:w="2041" w:type="pct"/>
            <w:gridSpan w:val="3"/>
            <w:tcBorders>
              <w:bottom w:val="single" w:sz="4" w:space="0" w:color="auto"/>
            </w:tcBorders>
            <w:shd w:val="clear" w:color="auto" w:fill="FDF1A3" w:themeFill="accent1" w:themeFillTint="99"/>
            <w:noWrap/>
            <w:vAlign w:val="center"/>
            <w:hideMark/>
          </w:tcPr>
          <w:p w14:paraId="01353596"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Combined FNB Ghana and GHL Bank</w:t>
            </w:r>
          </w:p>
        </w:tc>
      </w:tr>
      <w:tr w:rsidR="00D36801" w:rsidRPr="00D36801" w14:paraId="5CB9257B" w14:textId="77777777" w:rsidTr="000F5D58">
        <w:trPr>
          <w:trHeight w:val="240"/>
        </w:trPr>
        <w:tc>
          <w:tcPr>
            <w:tcW w:w="1598" w:type="pct"/>
            <w:shd w:val="clear" w:color="000000" w:fill="D9D9D9"/>
            <w:noWrap/>
            <w:vAlign w:val="center"/>
            <w:hideMark/>
          </w:tcPr>
          <w:p w14:paraId="7572330F"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w:t>
            </w:r>
          </w:p>
        </w:tc>
        <w:tc>
          <w:tcPr>
            <w:tcW w:w="680" w:type="pct"/>
            <w:shd w:val="clear" w:color="000000" w:fill="D9D9D9"/>
            <w:noWrap/>
            <w:vAlign w:val="center"/>
            <w:hideMark/>
          </w:tcPr>
          <w:p w14:paraId="391DAE3A"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FNB Ghana</w:t>
            </w:r>
          </w:p>
        </w:tc>
        <w:tc>
          <w:tcPr>
            <w:tcW w:w="680" w:type="pct"/>
            <w:shd w:val="clear" w:color="000000" w:fill="D9D9D9"/>
            <w:noWrap/>
            <w:vAlign w:val="center"/>
            <w:hideMark/>
          </w:tcPr>
          <w:p w14:paraId="42B1B093"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GHL Bank</w:t>
            </w:r>
          </w:p>
        </w:tc>
        <w:tc>
          <w:tcPr>
            <w:tcW w:w="680" w:type="pct"/>
            <w:tcBorders>
              <w:right w:val="nil"/>
            </w:tcBorders>
            <w:shd w:val="clear" w:color="000000" w:fill="D9D9D9"/>
            <w:noWrap/>
            <w:vAlign w:val="center"/>
            <w:hideMark/>
          </w:tcPr>
          <w:p w14:paraId="35CFD883"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c>
          <w:tcPr>
            <w:tcW w:w="680" w:type="pct"/>
            <w:tcBorders>
              <w:left w:val="nil"/>
              <w:right w:val="nil"/>
            </w:tcBorders>
            <w:shd w:val="clear" w:color="000000" w:fill="D9D9D9"/>
            <w:noWrap/>
            <w:vAlign w:val="center"/>
            <w:hideMark/>
          </w:tcPr>
          <w:p w14:paraId="01B1DCA8"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c>
          <w:tcPr>
            <w:tcW w:w="682" w:type="pct"/>
            <w:tcBorders>
              <w:left w:val="nil"/>
            </w:tcBorders>
            <w:shd w:val="clear" w:color="000000" w:fill="D9D9D9"/>
            <w:noWrap/>
            <w:vAlign w:val="center"/>
            <w:hideMark/>
          </w:tcPr>
          <w:p w14:paraId="1F6ABBF3"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r>
      <w:tr w:rsidR="00D36801" w:rsidRPr="00D36801" w14:paraId="35A52048" w14:textId="77777777" w:rsidTr="00B6382B">
        <w:trPr>
          <w:trHeight w:val="240"/>
        </w:trPr>
        <w:tc>
          <w:tcPr>
            <w:tcW w:w="1598" w:type="pct"/>
            <w:shd w:val="clear" w:color="auto" w:fill="E3EBEE" w:themeFill="accent5" w:themeFillTint="33"/>
            <w:noWrap/>
            <w:vAlign w:val="center"/>
            <w:hideMark/>
          </w:tcPr>
          <w:p w14:paraId="45DFC61C"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xml:space="preserve">GHS (‘000) </w:t>
            </w:r>
          </w:p>
        </w:tc>
        <w:tc>
          <w:tcPr>
            <w:tcW w:w="680" w:type="pct"/>
            <w:shd w:val="clear" w:color="auto" w:fill="E3EBEE" w:themeFill="accent5" w:themeFillTint="33"/>
            <w:noWrap/>
            <w:vAlign w:val="center"/>
            <w:hideMark/>
          </w:tcPr>
          <w:p w14:paraId="34C005A0"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0" w:type="pct"/>
            <w:shd w:val="clear" w:color="auto" w:fill="E3EBEE" w:themeFill="accent5" w:themeFillTint="33"/>
            <w:noWrap/>
            <w:vAlign w:val="center"/>
            <w:hideMark/>
          </w:tcPr>
          <w:p w14:paraId="45A4A2B7"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0" w:type="pct"/>
            <w:shd w:val="clear" w:color="auto" w:fill="E3EBEE" w:themeFill="accent5" w:themeFillTint="33"/>
            <w:noWrap/>
            <w:vAlign w:val="center"/>
            <w:hideMark/>
          </w:tcPr>
          <w:p w14:paraId="58032D48"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Dec-19</w:t>
            </w:r>
          </w:p>
        </w:tc>
        <w:tc>
          <w:tcPr>
            <w:tcW w:w="680" w:type="pct"/>
            <w:shd w:val="clear" w:color="auto" w:fill="E3EBEE" w:themeFill="accent5" w:themeFillTint="33"/>
            <w:noWrap/>
            <w:vAlign w:val="center"/>
            <w:hideMark/>
          </w:tcPr>
          <w:p w14:paraId="0CED0517"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Dec-20</w:t>
            </w:r>
          </w:p>
        </w:tc>
        <w:tc>
          <w:tcPr>
            <w:tcW w:w="682" w:type="pct"/>
            <w:shd w:val="clear" w:color="auto" w:fill="E3EBEE" w:themeFill="accent5" w:themeFillTint="33"/>
            <w:noWrap/>
            <w:vAlign w:val="center"/>
            <w:hideMark/>
          </w:tcPr>
          <w:p w14:paraId="7BE90657"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Dec-21</w:t>
            </w:r>
          </w:p>
        </w:tc>
      </w:tr>
      <w:tr w:rsidR="00B6382B" w:rsidRPr="00D36801" w14:paraId="351148B0" w14:textId="77777777" w:rsidTr="00B6382B">
        <w:trPr>
          <w:trHeight w:val="240"/>
        </w:trPr>
        <w:tc>
          <w:tcPr>
            <w:tcW w:w="1598" w:type="pct"/>
            <w:shd w:val="clear" w:color="000000" w:fill="FFFFFF"/>
            <w:noWrap/>
            <w:vAlign w:val="center"/>
            <w:hideMark/>
          </w:tcPr>
          <w:p w14:paraId="1AD43A8F"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Cash and cash equivalents </w:t>
            </w:r>
          </w:p>
        </w:tc>
        <w:tc>
          <w:tcPr>
            <w:tcW w:w="680" w:type="pct"/>
            <w:shd w:val="clear" w:color="000000" w:fill="FFFFFF"/>
            <w:noWrap/>
            <w:vAlign w:val="center"/>
            <w:hideMark/>
          </w:tcPr>
          <w:p w14:paraId="5AD72F9A"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174 489 </w:t>
            </w:r>
          </w:p>
        </w:tc>
        <w:tc>
          <w:tcPr>
            <w:tcW w:w="680" w:type="pct"/>
            <w:shd w:val="clear" w:color="000000" w:fill="FFFFFF"/>
            <w:noWrap/>
            <w:vAlign w:val="center"/>
            <w:hideMark/>
          </w:tcPr>
          <w:p w14:paraId="0C4A14D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25 338 </w:t>
            </w:r>
          </w:p>
        </w:tc>
        <w:tc>
          <w:tcPr>
            <w:tcW w:w="680" w:type="pct"/>
            <w:shd w:val="clear" w:color="000000" w:fill="FFFFFF"/>
            <w:noWrap/>
            <w:vAlign w:val="center"/>
            <w:hideMark/>
          </w:tcPr>
          <w:p w14:paraId="110F4E0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93 867 </w:t>
            </w:r>
          </w:p>
        </w:tc>
        <w:tc>
          <w:tcPr>
            <w:tcW w:w="680" w:type="pct"/>
            <w:shd w:val="clear" w:color="000000" w:fill="FFFFFF"/>
            <w:noWrap/>
            <w:vAlign w:val="center"/>
            <w:hideMark/>
          </w:tcPr>
          <w:p w14:paraId="13316A64"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136 496 </w:t>
            </w:r>
          </w:p>
        </w:tc>
        <w:tc>
          <w:tcPr>
            <w:tcW w:w="682" w:type="pct"/>
            <w:shd w:val="clear" w:color="000000" w:fill="FFFFFF"/>
            <w:noWrap/>
            <w:vAlign w:val="center"/>
            <w:hideMark/>
          </w:tcPr>
          <w:p w14:paraId="69CB3DD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277 324 </w:t>
            </w:r>
          </w:p>
        </w:tc>
      </w:tr>
      <w:tr w:rsidR="00B6382B" w:rsidRPr="00D36801" w14:paraId="07D29414" w14:textId="77777777" w:rsidTr="00B6382B">
        <w:trPr>
          <w:trHeight w:val="240"/>
        </w:trPr>
        <w:tc>
          <w:tcPr>
            <w:tcW w:w="1598" w:type="pct"/>
            <w:shd w:val="clear" w:color="000000" w:fill="FFFFFF"/>
            <w:noWrap/>
            <w:vAlign w:val="center"/>
            <w:hideMark/>
          </w:tcPr>
          <w:p w14:paraId="731E5603"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Investment securities </w:t>
            </w:r>
          </w:p>
        </w:tc>
        <w:tc>
          <w:tcPr>
            <w:tcW w:w="680" w:type="pct"/>
            <w:shd w:val="clear" w:color="000000" w:fill="FFFFFF"/>
            <w:noWrap/>
            <w:vAlign w:val="center"/>
            <w:hideMark/>
          </w:tcPr>
          <w:p w14:paraId="6DD69544"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296 129 </w:t>
            </w:r>
          </w:p>
        </w:tc>
        <w:tc>
          <w:tcPr>
            <w:tcW w:w="680" w:type="pct"/>
            <w:shd w:val="clear" w:color="000000" w:fill="FFFFFF"/>
            <w:noWrap/>
            <w:vAlign w:val="center"/>
            <w:hideMark/>
          </w:tcPr>
          <w:p w14:paraId="5C294C5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xml:space="preserve">43 750 </w:t>
            </w:r>
          </w:p>
        </w:tc>
        <w:tc>
          <w:tcPr>
            <w:tcW w:w="680" w:type="pct"/>
            <w:shd w:val="clear" w:color="000000" w:fill="FFFFFF"/>
            <w:noWrap/>
            <w:vAlign w:val="center"/>
            <w:hideMark/>
          </w:tcPr>
          <w:p w14:paraId="37634C9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387 887 </w:t>
            </w:r>
          </w:p>
        </w:tc>
        <w:tc>
          <w:tcPr>
            <w:tcW w:w="680" w:type="pct"/>
            <w:shd w:val="clear" w:color="000000" w:fill="FFFFFF"/>
            <w:noWrap/>
            <w:vAlign w:val="center"/>
            <w:hideMark/>
          </w:tcPr>
          <w:p w14:paraId="777E67F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453 068 </w:t>
            </w:r>
          </w:p>
        </w:tc>
        <w:tc>
          <w:tcPr>
            <w:tcW w:w="682" w:type="pct"/>
            <w:shd w:val="clear" w:color="000000" w:fill="FFFFFF"/>
            <w:noWrap/>
            <w:vAlign w:val="center"/>
            <w:hideMark/>
          </w:tcPr>
          <w:p w14:paraId="47685004"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556 695 </w:t>
            </w:r>
          </w:p>
        </w:tc>
      </w:tr>
      <w:tr w:rsidR="00B6382B" w:rsidRPr="00D36801" w14:paraId="4AF06655" w14:textId="77777777" w:rsidTr="00B6382B">
        <w:trPr>
          <w:trHeight w:val="240"/>
        </w:trPr>
        <w:tc>
          <w:tcPr>
            <w:tcW w:w="1598" w:type="pct"/>
            <w:shd w:val="clear" w:color="000000" w:fill="FFFFFF"/>
            <w:noWrap/>
            <w:vAlign w:val="center"/>
            <w:hideMark/>
          </w:tcPr>
          <w:p w14:paraId="348788F3"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Net loans and advances </w:t>
            </w:r>
          </w:p>
        </w:tc>
        <w:tc>
          <w:tcPr>
            <w:tcW w:w="680" w:type="pct"/>
            <w:shd w:val="clear" w:color="000000" w:fill="FFFFFF"/>
            <w:noWrap/>
            <w:vAlign w:val="center"/>
            <w:hideMark/>
          </w:tcPr>
          <w:p w14:paraId="4E9DA945"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84 342 </w:t>
            </w:r>
          </w:p>
        </w:tc>
        <w:tc>
          <w:tcPr>
            <w:tcW w:w="680" w:type="pct"/>
            <w:shd w:val="clear" w:color="000000" w:fill="FFFFFF"/>
            <w:noWrap/>
            <w:vAlign w:val="center"/>
            <w:hideMark/>
          </w:tcPr>
          <w:p w14:paraId="1173917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xml:space="preserve">561 648 </w:t>
            </w:r>
          </w:p>
        </w:tc>
        <w:tc>
          <w:tcPr>
            <w:tcW w:w="680" w:type="pct"/>
            <w:shd w:val="clear" w:color="000000" w:fill="FFFFFF"/>
            <w:noWrap/>
            <w:vAlign w:val="center"/>
            <w:hideMark/>
          </w:tcPr>
          <w:p w14:paraId="19A11E96"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825 676 </w:t>
            </w:r>
          </w:p>
        </w:tc>
        <w:tc>
          <w:tcPr>
            <w:tcW w:w="680" w:type="pct"/>
            <w:shd w:val="clear" w:color="000000" w:fill="FFFFFF"/>
            <w:noWrap/>
            <w:vAlign w:val="center"/>
            <w:hideMark/>
          </w:tcPr>
          <w:p w14:paraId="551F207B"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1 248 933 </w:t>
            </w:r>
          </w:p>
        </w:tc>
        <w:tc>
          <w:tcPr>
            <w:tcW w:w="682" w:type="pct"/>
            <w:shd w:val="clear" w:color="000000" w:fill="FFFFFF"/>
            <w:noWrap/>
            <w:vAlign w:val="center"/>
            <w:hideMark/>
          </w:tcPr>
          <w:p w14:paraId="262DED2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1 621 265 </w:t>
            </w:r>
          </w:p>
        </w:tc>
      </w:tr>
      <w:tr w:rsidR="00B6382B" w:rsidRPr="00D36801" w14:paraId="2430B82A" w14:textId="77777777" w:rsidTr="00B6382B">
        <w:trPr>
          <w:trHeight w:val="240"/>
        </w:trPr>
        <w:tc>
          <w:tcPr>
            <w:tcW w:w="1598" w:type="pct"/>
            <w:shd w:val="clear" w:color="000000" w:fill="FFFFFF"/>
            <w:noWrap/>
            <w:vAlign w:val="center"/>
            <w:hideMark/>
          </w:tcPr>
          <w:p w14:paraId="0392B14F" w14:textId="77777777" w:rsidR="00B6382B" w:rsidRPr="00D36801" w:rsidRDefault="00B6382B" w:rsidP="00B6382B">
            <w:pPr>
              <w:spacing w:line="240" w:lineRule="auto"/>
              <w:ind w:firstLineChars="100" w:firstLine="161"/>
              <w:jc w:val="left"/>
              <w:rPr>
                <w:rFonts w:eastAsia="Times New Roman" w:cs="Arial"/>
                <w:b/>
                <w:sz w:val="16"/>
                <w:szCs w:val="16"/>
                <w:lang w:eastAsia="en-GB"/>
              </w:rPr>
            </w:pPr>
            <w:r w:rsidRPr="00D36801">
              <w:rPr>
                <w:rFonts w:eastAsia="Times New Roman" w:cs="Arial"/>
                <w:b/>
                <w:sz w:val="16"/>
                <w:szCs w:val="16"/>
                <w:lang w:val="en-US" w:eastAsia="en-GB"/>
              </w:rPr>
              <w:t xml:space="preserve">Total assets </w:t>
            </w:r>
          </w:p>
        </w:tc>
        <w:tc>
          <w:tcPr>
            <w:tcW w:w="680" w:type="pct"/>
            <w:shd w:val="clear" w:color="000000" w:fill="FFFFFF"/>
            <w:noWrap/>
            <w:vAlign w:val="center"/>
            <w:hideMark/>
          </w:tcPr>
          <w:p w14:paraId="2DA8E2CA"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B6382B">
              <w:rPr>
                <w:rFonts w:cs="Arial"/>
                <w:b/>
                <w:bCs/>
                <w:sz w:val="16"/>
                <w:szCs w:val="16"/>
                <w:lang w:val="en-US"/>
              </w:rPr>
              <w:t xml:space="preserve">638 184 </w:t>
            </w:r>
          </w:p>
        </w:tc>
        <w:tc>
          <w:tcPr>
            <w:tcW w:w="680" w:type="pct"/>
            <w:shd w:val="clear" w:color="000000" w:fill="FFFFFF"/>
            <w:noWrap/>
            <w:vAlign w:val="center"/>
            <w:hideMark/>
          </w:tcPr>
          <w:p w14:paraId="431136F9"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eastAsia="en-GB"/>
              </w:rPr>
              <w:t xml:space="preserve">686 345 </w:t>
            </w:r>
          </w:p>
        </w:tc>
        <w:tc>
          <w:tcPr>
            <w:tcW w:w="680" w:type="pct"/>
            <w:shd w:val="clear" w:color="000000" w:fill="FFFFFF"/>
            <w:noWrap/>
            <w:vAlign w:val="center"/>
            <w:hideMark/>
          </w:tcPr>
          <w:p w14:paraId="0676D543"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1 415 043 </w:t>
            </w:r>
          </w:p>
        </w:tc>
        <w:tc>
          <w:tcPr>
            <w:tcW w:w="680" w:type="pct"/>
            <w:shd w:val="clear" w:color="000000" w:fill="FFFFFF"/>
            <w:noWrap/>
            <w:vAlign w:val="center"/>
            <w:hideMark/>
          </w:tcPr>
          <w:p w14:paraId="17E026E9"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1 959 383 </w:t>
            </w:r>
          </w:p>
        </w:tc>
        <w:tc>
          <w:tcPr>
            <w:tcW w:w="682" w:type="pct"/>
            <w:shd w:val="clear" w:color="000000" w:fill="FFFFFF"/>
            <w:noWrap/>
            <w:vAlign w:val="center"/>
            <w:hideMark/>
          </w:tcPr>
          <w:p w14:paraId="0D417BA2"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2 590 674 </w:t>
            </w:r>
          </w:p>
        </w:tc>
      </w:tr>
      <w:tr w:rsidR="00B6382B" w:rsidRPr="00D36801" w14:paraId="0C3BE3B9" w14:textId="77777777" w:rsidTr="00B6382B">
        <w:trPr>
          <w:trHeight w:val="240"/>
        </w:trPr>
        <w:tc>
          <w:tcPr>
            <w:tcW w:w="1598" w:type="pct"/>
            <w:shd w:val="clear" w:color="000000" w:fill="FFFFFF"/>
            <w:noWrap/>
            <w:vAlign w:val="center"/>
            <w:hideMark/>
          </w:tcPr>
          <w:p w14:paraId="7C15F394"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Deposits  </w:t>
            </w:r>
          </w:p>
        </w:tc>
        <w:tc>
          <w:tcPr>
            <w:tcW w:w="680" w:type="pct"/>
            <w:shd w:val="clear" w:color="000000" w:fill="FFFFFF"/>
            <w:noWrap/>
            <w:vAlign w:val="center"/>
            <w:hideMark/>
          </w:tcPr>
          <w:p w14:paraId="712E6A2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182 824 </w:t>
            </w:r>
          </w:p>
        </w:tc>
        <w:tc>
          <w:tcPr>
            <w:tcW w:w="680" w:type="pct"/>
            <w:shd w:val="clear" w:color="000000" w:fill="FFFFFF"/>
            <w:noWrap/>
            <w:vAlign w:val="center"/>
            <w:hideMark/>
          </w:tcPr>
          <w:p w14:paraId="1CAC3277"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xml:space="preserve">94 842 </w:t>
            </w:r>
          </w:p>
        </w:tc>
        <w:tc>
          <w:tcPr>
            <w:tcW w:w="680" w:type="pct"/>
            <w:shd w:val="clear" w:color="000000" w:fill="FFFFFF"/>
            <w:noWrap/>
            <w:vAlign w:val="center"/>
            <w:hideMark/>
          </w:tcPr>
          <w:p w14:paraId="1518CB4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539 444 </w:t>
            </w:r>
          </w:p>
        </w:tc>
        <w:tc>
          <w:tcPr>
            <w:tcW w:w="680" w:type="pct"/>
            <w:shd w:val="clear" w:color="000000" w:fill="FFFFFF"/>
            <w:noWrap/>
            <w:vAlign w:val="center"/>
            <w:hideMark/>
          </w:tcPr>
          <w:p w14:paraId="733B710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890 631 </w:t>
            </w:r>
          </w:p>
        </w:tc>
        <w:tc>
          <w:tcPr>
            <w:tcW w:w="682" w:type="pct"/>
            <w:shd w:val="clear" w:color="000000" w:fill="FFFFFF"/>
            <w:noWrap/>
            <w:vAlign w:val="center"/>
            <w:hideMark/>
          </w:tcPr>
          <w:p w14:paraId="4A6B2A2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1 340 947 </w:t>
            </w:r>
          </w:p>
        </w:tc>
      </w:tr>
      <w:tr w:rsidR="00B6382B" w:rsidRPr="00D36801" w14:paraId="7F58F461" w14:textId="77777777" w:rsidTr="00B6382B">
        <w:trPr>
          <w:trHeight w:val="240"/>
        </w:trPr>
        <w:tc>
          <w:tcPr>
            <w:tcW w:w="1598" w:type="pct"/>
            <w:shd w:val="clear" w:color="000000" w:fill="FFFFFF"/>
            <w:noWrap/>
            <w:vAlign w:val="center"/>
            <w:hideMark/>
          </w:tcPr>
          <w:p w14:paraId="709BD85E"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Borrowings </w:t>
            </w:r>
          </w:p>
        </w:tc>
        <w:tc>
          <w:tcPr>
            <w:tcW w:w="680" w:type="pct"/>
            <w:shd w:val="clear" w:color="000000" w:fill="FFFFFF"/>
            <w:noWrap/>
            <w:vAlign w:val="center"/>
            <w:hideMark/>
          </w:tcPr>
          <w:p w14:paraId="25C875C7"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 xml:space="preserve">-- </w:t>
            </w:r>
          </w:p>
        </w:tc>
        <w:tc>
          <w:tcPr>
            <w:tcW w:w="680" w:type="pct"/>
            <w:shd w:val="clear" w:color="000000" w:fill="FFFFFF"/>
            <w:noWrap/>
            <w:vAlign w:val="center"/>
            <w:hideMark/>
          </w:tcPr>
          <w:p w14:paraId="165B0ED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eastAsia="en-GB"/>
              </w:rPr>
              <w:t xml:space="preserve">339 115 </w:t>
            </w:r>
          </w:p>
        </w:tc>
        <w:tc>
          <w:tcPr>
            <w:tcW w:w="680" w:type="pct"/>
            <w:shd w:val="clear" w:color="000000" w:fill="FFFFFF"/>
            <w:noWrap/>
            <w:vAlign w:val="center"/>
            <w:hideMark/>
          </w:tcPr>
          <w:p w14:paraId="3E55F745"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387 023 </w:t>
            </w:r>
          </w:p>
        </w:tc>
        <w:tc>
          <w:tcPr>
            <w:tcW w:w="680" w:type="pct"/>
            <w:shd w:val="clear" w:color="000000" w:fill="FFFFFF"/>
            <w:noWrap/>
            <w:vAlign w:val="center"/>
            <w:hideMark/>
          </w:tcPr>
          <w:p w14:paraId="02FBFAB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565 594 </w:t>
            </w:r>
          </w:p>
        </w:tc>
        <w:tc>
          <w:tcPr>
            <w:tcW w:w="682" w:type="pct"/>
            <w:shd w:val="clear" w:color="000000" w:fill="FFFFFF"/>
            <w:noWrap/>
            <w:vAlign w:val="center"/>
            <w:hideMark/>
          </w:tcPr>
          <w:p w14:paraId="17CF1B59"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 xml:space="preserve">704 338 </w:t>
            </w:r>
          </w:p>
        </w:tc>
      </w:tr>
      <w:tr w:rsidR="00B6382B" w:rsidRPr="00D36801" w14:paraId="0E731D7E" w14:textId="77777777" w:rsidTr="00B6382B">
        <w:trPr>
          <w:trHeight w:val="240"/>
        </w:trPr>
        <w:tc>
          <w:tcPr>
            <w:tcW w:w="1598" w:type="pct"/>
            <w:shd w:val="clear" w:color="000000" w:fill="FFFFFF"/>
            <w:noWrap/>
            <w:vAlign w:val="center"/>
            <w:hideMark/>
          </w:tcPr>
          <w:p w14:paraId="12A43649" w14:textId="77777777" w:rsidR="00B6382B" w:rsidRPr="00D36801" w:rsidRDefault="00B6382B" w:rsidP="00B6382B">
            <w:pPr>
              <w:spacing w:line="240" w:lineRule="auto"/>
              <w:ind w:firstLineChars="100" w:firstLine="161"/>
              <w:jc w:val="left"/>
              <w:rPr>
                <w:rFonts w:eastAsia="Times New Roman" w:cs="Arial"/>
                <w:b/>
                <w:sz w:val="16"/>
                <w:szCs w:val="16"/>
                <w:lang w:eastAsia="en-GB"/>
              </w:rPr>
            </w:pPr>
            <w:r w:rsidRPr="00D36801">
              <w:rPr>
                <w:rFonts w:eastAsia="Times New Roman" w:cs="Arial"/>
                <w:b/>
                <w:sz w:val="16"/>
                <w:szCs w:val="16"/>
                <w:lang w:val="en-US" w:eastAsia="en-GB"/>
              </w:rPr>
              <w:t xml:space="preserve">Total Liabilities </w:t>
            </w:r>
          </w:p>
        </w:tc>
        <w:tc>
          <w:tcPr>
            <w:tcW w:w="680" w:type="pct"/>
            <w:shd w:val="clear" w:color="000000" w:fill="FFFFFF"/>
            <w:noWrap/>
            <w:vAlign w:val="center"/>
            <w:hideMark/>
          </w:tcPr>
          <w:p w14:paraId="40C34A8A"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B6382B">
              <w:rPr>
                <w:rFonts w:cs="Arial"/>
                <w:b/>
                <w:bCs/>
                <w:sz w:val="16"/>
                <w:szCs w:val="16"/>
                <w:lang w:val="en-US"/>
              </w:rPr>
              <w:t xml:space="preserve">208 488 </w:t>
            </w:r>
          </w:p>
        </w:tc>
        <w:tc>
          <w:tcPr>
            <w:tcW w:w="680" w:type="pct"/>
            <w:shd w:val="clear" w:color="000000" w:fill="FFFFFF"/>
            <w:noWrap/>
            <w:vAlign w:val="center"/>
            <w:hideMark/>
          </w:tcPr>
          <w:p w14:paraId="1F0F5691"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eastAsia="en-GB"/>
              </w:rPr>
              <w:t xml:space="preserve">474 266 </w:t>
            </w:r>
          </w:p>
        </w:tc>
        <w:tc>
          <w:tcPr>
            <w:tcW w:w="680" w:type="pct"/>
            <w:shd w:val="clear" w:color="000000" w:fill="FFFFFF"/>
            <w:noWrap/>
            <w:vAlign w:val="center"/>
            <w:hideMark/>
          </w:tcPr>
          <w:p w14:paraId="2A78C8A0"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993 567 </w:t>
            </w:r>
          </w:p>
        </w:tc>
        <w:tc>
          <w:tcPr>
            <w:tcW w:w="680" w:type="pct"/>
            <w:shd w:val="clear" w:color="000000" w:fill="FFFFFF"/>
            <w:noWrap/>
            <w:vAlign w:val="center"/>
            <w:hideMark/>
          </w:tcPr>
          <w:p w14:paraId="76B574B1"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1 532 364 </w:t>
            </w:r>
          </w:p>
        </w:tc>
        <w:tc>
          <w:tcPr>
            <w:tcW w:w="682" w:type="pct"/>
            <w:shd w:val="clear" w:color="000000" w:fill="FFFFFF"/>
            <w:noWrap/>
            <w:vAlign w:val="center"/>
            <w:hideMark/>
          </w:tcPr>
          <w:p w14:paraId="2A4AB0F3" w14:textId="77777777" w:rsidR="00B6382B" w:rsidRPr="00D36801" w:rsidRDefault="00B6382B" w:rsidP="00B6382B">
            <w:pPr>
              <w:spacing w:line="240" w:lineRule="auto"/>
              <w:ind w:firstLineChars="100" w:firstLine="161"/>
              <w:jc w:val="right"/>
              <w:rPr>
                <w:rFonts w:eastAsia="Times New Roman" w:cs="Arial"/>
                <w:b/>
                <w:sz w:val="16"/>
                <w:szCs w:val="16"/>
                <w:lang w:eastAsia="en-GB"/>
              </w:rPr>
            </w:pPr>
            <w:r w:rsidRPr="00D36801">
              <w:rPr>
                <w:rFonts w:eastAsia="Times New Roman" w:cs="Arial"/>
                <w:b/>
                <w:sz w:val="16"/>
                <w:szCs w:val="16"/>
                <w:lang w:val="en-US" w:eastAsia="en-GB"/>
              </w:rPr>
              <w:t xml:space="preserve">2 130 719 </w:t>
            </w:r>
          </w:p>
        </w:tc>
      </w:tr>
      <w:tr w:rsidR="00B6382B" w:rsidRPr="00D36801" w14:paraId="6D9B8E75" w14:textId="77777777" w:rsidTr="00B6382B">
        <w:trPr>
          <w:trHeight w:val="240"/>
        </w:trPr>
        <w:tc>
          <w:tcPr>
            <w:tcW w:w="1598" w:type="pct"/>
            <w:shd w:val="clear" w:color="000000" w:fill="FFFFFF"/>
            <w:noWrap/>
            <w:vAlign w:val="bottom"/>
            <w:hideMark/>
          </w:tcPr>
          <w:p w14:paraId="713F1BA0" w14:textId="77777777" w:rsidR="00B6382B" w:rsidRPr="00D36801" w:rsidRDefault="00B6382B" w:rsidP="00B6382B">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xml:space="preserve">Equity </w:t>
            </w:r>
          </w:p>
        </w:tc>
        <w:tc>
          <w:tcPr>
            <w:tcW w:w="680" w:type="pct"/>
            <w:shd w:val="clear" w:color="000000" w:fill="FFFFFF"/>
            <w:noWrap/>
            <w:vAlign w:val="bottom"/>
            <w:hideMark/>
          </w:tcPr>
          <w:p w14:paraId="1D13B373"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B6382B">
              <w:rPr>
                <w:rFonts w:cs="Arial"/>
                <w:b/>
                <w:bCs/>
                <w:sz w:val="16"/>
                <w:szCs w:val="16"/>
                <w:lang w:val="en-US"/>
              </w:rPr>
              <w:t xml:space="preserve">429 696 </w:t>
            </w:r>
          </w:p>
        </w:tc>
        <w:tc>
          <w:tcPr>
            <w:tcW w:w="680" w:type="pct"/>
            <w:shd w:val="clear" w:color="000000" w:fill="FFFFFF"/>
            <w:noWrap/>
            <w:vAlign w:val="bottom"/>
            <w:hideMark/>
          </w:tcPr>
          <w:p w14:paraId="17D81307"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xml:space="preserve">212 079 </w:t>
            </w:r>
          </w:p>
        </w:tc>
        <w:tc>
          <w:tcPr>
            <w:tcW w:w="680" w:type="pct"/>
            <w:shd w:val="clear" w:color="000000" w:fill="FFFFFF"/>
            <w:noWrap/>
            <w:vAlign w:val="bottom"/>
            <w:hideMark/>
          </w:tcPr>
          <w:p w14:paraId="575EBB9F"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421 476 </w:t>
            </w:r>
          </w:p>
        </w:tc>
        <w:tc>
          <w:tcPr>
            <w:tcW w:w="680" w:type="pct"/>
            <w:shd w:val="clear" w:color="000000" w:fill="FFFFFF"/>
            <w:noWrap/>
            <w:vAlign w:val="bottom"/>
            <w:hideMark/>
          </w:tcPr>
          <w:p w14:paraId="6850B8EC"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427 018 </w:t>
            </w:r>
          </w:p>
        </w:tc>
        <w:tc>
          <w:tcPr>
            <w:tcW w:w="682" w:type="pct"/>
            <w:shd w:val="clear" w:color="000000" w:fill="FFFFFF"/>
            <w:noWrap/>
            <w:vAlign w:val="bottom"/>
            <w:hideMark/>
          </w:tcPr>
          <w:p w14:paraId="7BD320BB" w14:textId="77777777" w:rsidR="00B6382B" w:rsidRPr="00D36801" w:rsidRDefault="00B6382B" w:rsidP="00B6382B">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 xml:space="preserve">459 955 </w:t>
            </w:r>
          </w:p>
        </w:tc>
      </w:tr>
    </w:tbl>
    <w:p w14:paraId="03B50755" w14:textId="77777777" w:rsidR="00F05A4B" w:rsidRDefault="00F05A4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1312"/>
        <w:gridCol w:w="1311"/>
        <w:gridCol w:w="1311"/>
        <w:gridCol w:w="1311"/>
        <w:gridCol w:w="1309"/>
      </w:tblGrid>
      <w:tr w:rsidR="00B6382B" w:rsidRPr="00D36801" w14:paraId="1EF3088C" w14:textId="77777777" w:rsidTr="000F5D58">
        <w:trPr>
          <w:trHeight w:val="405"/>
        </w:trPr>
        <w:tc>
          <w:tcPr>
            <w:tcW w:w="1596" w:type="pct"/>
            <w:shd w:val="clear" w:color="auto" w:fill="FDF1A3" w:themeFill="accent1" w:themeFillTint="99"/>
            <w:noWrap/>
            <w:vAlign w:val="center"/>
            <w:hideMark/>
          </w:tcPr>
          <w:p w14:paraId="52E6FFD9"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Key ratios</w:t>
            </w:r>
          </w:p>
        </w:tc>
        <w:tc>
          <w:tcPr>
            <w:tcW w:w="1362" w:type="pct"/>
            <w:gridSpan w:val="2"/>
            <w:shd w:val="clear" w:color="auto" w:fill="FDF1A3" w:themeFill="accent1" w:themeFillTint="99"/>
            <w:noWrap/>
            <w:vAlign w:val="center"/>
            <w:hideMark/>
          </w:tcPr>
          <w:p w14:paraId="02F21BFA"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Standalone</w:t>
            </w:r>
          </w:p>
        </w:tc>
        <w:tc>
          <w:tcPr>
            <w:tcW w:w="2041" w:type="pct"/>
            <w:gridSpan w:val="3"/>
            <w:tcBorders>
              <w:bottom w:val="single" w:sz="4" w:space="0" w:color="auto"/>
            </w:tcBorders>
            <w:shd w:val="clear" w:color="auto" w:fill="FDF1A3" w:themeFill="accent1" w:themeFillTint="99"/>
            <w:noWrap/>
            <w:vAlign w:val="center"/>
            <w:hideMark/>
          </w:tcPr>
          <w:p w14:paraId="1D27E7C4" w14:textId="77777777" w:rsidR="00D36801" w:rsidRPr="00D36801" w:rsidRDefault="00D36801" w:rsidP="00D36801">
            <w:pPr>
              <w:spacing w:line="240" w:lineRule="auto"/>
              <w:jc w:val="center"/>
              <w:rPr>
                <w:rFonts w:eastAsia="Times New Roman" w:cs="Arial"/>
                <w:b/>
                <w:bCs/>
                <w:sz w:val="16"/>
                <w:szCs w:val="16"/>
                <w:lang w:eastAsia="en-GB"/>
              </w:rPr>
            </w:pPr>
            <w:r w:rsidRPr="00D36801">
              <w:rPr>
                <w:rFonts w:eastAsia="Times New Roman" w:cs="Arial"/>
                <w:b/>
                <w:bCs/>
                <w:sz w:val="16"/>
                <w:szCs w:val="16"/>
                <w:lang w:val="en-US" w:eastAsia="en-GB"/>
              </w:rPr>
              <w:t>Combined FNB Ghana and GHL Bank</w:t>
            </w:r>
          </w:p>
        </w:tc>
      </w:tr>
      <w:tr w:rsidR="00D36801" w:rsidRPr="00D36801" w14:paraId="398BE778" w14:textId="77777777" w:rsidTr="000F5D58">
        <w:trPr>
          <w:trHeight w:val="240"/>
        </w:trPr>
        <w:tc>
          <w:tcPr>
            <w:tcW w:w="1596" w:type="pct"/>
            <w:shd w:val="clear" w:color="000000" w:fill="D9D9D9"/>
            <w:noWrap/>
            <w:vAlign w:val="center"/>
            <w:hideMark/>
          </w:tcPr>
          <w:p w14:paraId="6C9BB222"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w:t>
            </w:r>
          </w:p>
        </w:tc>
        <w:tc>
          <w:tcPr>
            <w:tcW w:w="681" w:type="pct"/>
            <w:shd w:val="clear" w:color="000000" w:fill="D9D9D9"/>
            <w:noWrap/>
            <w:vAlign w:val="center"/>
            <w:hideMark/>
          </w:tcPr>
          <w:p w14:paraId="2C0DA2F0"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FNB Ghana</w:t>
            </w:r>
          </w:p>
        </w:tc>
        <w:tc>
          <w:tcPr>
            <w:tcW w:w="681" w:type="pct"/>
            <w:shd w:val="clear" w:color="000000" w:fill="D9D9D9"/>
            <w:noWrap/>
            <w:vAlign w:val="center"/>
            <w:hideMark/>
          </w:tcPr>
          <w:p w14:paraId="223089E9"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GHL Bank</w:t>
            </w:r>
          </w:p>
        </w:tc>
        <w:tc>
          <w:tcPr>
            <w:tcW w:w="681" w:type="pct"/>
            <w:tcBorders>
              <w:right w:val="nil"/>
            </w:tcBorders>
            <w:shd w:val="clear" w:color="000000" w:fill="D9D9D9"/>
            <w:noWrap/>
            <w:vAlign w:val="center"/>
            <w:hideMark/>
          </w:tcPr>
          <w:p w14:paraId="3B277661"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c>
          <w:tcPr>
            <w:tcW w:w="681" w:type="pct"/>
            <w:tcBorders>
              <w:left w:val="nil"/>
              <w:right w:val="nil"/>
            </w:tcBorders>
            <w:shd w:val="clear" w:color="000000" w:fill="D9D9D9"/>
            <w:noWrap/>
            <w:vAlign w:val="center"/>
            <w:hideMark/>
          </w:tcPr>
          <w:p w14:paraId="73F52CB2"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c>
          <w:tcPr>
            <w:tcW w:w="680" w:type="pct"/>
            <w:tcBorders>
              <w:left w:val="nil"/>
            </w:tcBorders>
            <w:shd w:val="clear" w:color="000000" w:fill="D9D9D9"/>
            <w:noWrap/>
            <w:vAlign w:val="center"/>
            <w:hideMark/>
          </w:tcPr>
          <w:p w14:paraId="1FC0911E"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eastAsia="en-GB"/>
              </w:rPr>
              <w:t> </w:t>
            </w:r>
          </w:p>
        </w:tc>
      </w:tr>
      <w:tr w:rsidR="00D36801" w:rsidRPr="00D36801" w14:paraId="76F513F9" w14:textId="77777777" w:rsidTr="00B6382B">
        <w:trPr>
          <w:trHeight w:val="240"/>
        </w:trPr>
        <w:tc>
          <w:tcPr>
            <w:tcW w:w="1596" w:type="pct"/>
            <w:shd w:val="clear" w:color="auto" w:fill="E3EBEE" w:themeFill="accent5" w:themeFillTint="33"/>
            <w:noWrap/>
            <w:vAlign w:val="center"/>
            <w:hideMark/>
          </w:tcPr>
          <w:p w14:paraId="473BA994" w14:textId="77777777" w:rsidR="00D36801" w:rsidRPr="00D36801" w:rsidRDefault="00D36801" w:rsidP="00D36801">
            <w:pPr>
              <w:spacing w:line="240" w:lineRule="auto"/>
              <w:ind w:firstLineChars="100" w:firstLine="161"/>
              <w:jc w:val="left"/>
              <w:rPr>
                <w:rFonts w:eastAsia="Times New Roman" w:cs="Arial"/>
                <w:b/>
                <w:bCs/>
                <w:sz w:val="16"/>
                <w:szCs w:val="16"/>
                <w:lang w:eastAsia="en-GB"/>
              </w:rPr>
            </w:pPr>
            <w:r w:rsidRPr="00D36801">
              <w:rPr>
                <w:rFonts w:eastAsia="Times New Roman" w:cs="Arial"/>
                <w:b/>
                <w:bCs/>
                <w:sz w:val="16"/>
                <w:szCs w:val="16"/>
                <w:lang w:val="en-US" w:eastAsia="en-GB"/>
              </w:rPr>
              <w:t> </w:t>
            </w:r>
          </w:p>
        </w:tc>
        <w:tc>
          <w:tcPr>
            <w:tcW w:w="681" w:type="pct"/>
            <w:shd w:val="clear" w:color="auto" w:fill="E3EBEE" w:themeFill="accent5" w:themeFillTint="33"/>
            <w:noWrap/>
            <w:vAlign w:val="center"/>
            <w:hideMark/>
          </w:tcPr>
          <w:p w14:paraId="56E57B70"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1" w:type="pct"/>
            <w:shd w:val="clear" w:color="auto" w:fill="E3EBEE" w:themeFill="accent5" w:themeFillTint="33"/>
            <w:noWrap/>
            <w:vAlign w:val="center"/>
            <w:hideMark/>
          </w:tcPr>
          <w:p w14:paraId="3CBD6E60"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Dec-18</w:t>
            </w:r>
          </w:p>
        </w:tc>
        <w:tc>
          <w:tcPr>
            <w:tcW w:w="681" w:type="pct"/>
            <w:shd w:val="clear" w:color="auto" w:fill="E3EBEE" w:themeFill="accent5" w:themeFillTint="33"/>
            <w:noWrap/>
            <w:vAlign w:val="center"/>
            <w:hideMark/>
          </w:tcPr>
          <w:p w14:paraId="4A4027ED"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Dec-19</w:t>
            </w:r>
          </w:p>
        </w:tc>
        <w:tc>
          <w:tcPr>
            <w:tcW w:w="681" w:type="pct"/>
            <w:shd w:val="clear" w:color="auto" w:fill="E3EBEE" w:themeFill="accent5" w:themeFillTint="33"/>
            <w:noWrap/>
            <w:vAlign w:val="center"/>
            <w:hideMark/>
          </w:tcPr>
          <w:p w14:paraId="1A487AC7"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Dec-20</w:t>
            </w:r>
          </w:p>
        </w:tc>
        <w:tc>
          <w:tcPr>
            <w:tcW w:w="680" w:type="pct"/>
            <w:shd w:val="clear" w:color="auto" w:fill="E3EBEE" w:themeFill="accent5" w:themeFillTint="33"/>
            <w:noWrap/>
            <w:vAlign w:val="center"/>
            <w:hideMark/>
          </w:tcPr>
          <w:p w14:paraId="699AE94D" w14:textId="77777777" w:rsidR="00D36801" w:rsidRPr="00D36801" w:rsidRDefault="00D36801" w:rsidP="00D36801">
            <w:pPr>
              <w:spacing w:line="240" w:lineRule="auto"/>
              <w:ind w:firstLineChars="100" w:firstLine="161"/>
              <w:jc w:val="right"/>
              <w:rPr>
                <w:rFonts w:eastAsia="Times New Roman" w:cs="Arial"/>
                <w:b/>
                <w:bCs/>
                <w:sz w:val="16"/>
                <w:szCs w:val="16"/>
                <w:lang w:eastAsia="en-GB"/>
              </w:rPr>
            </w:pPr>
            <w:r w:rsidRPr="00D36801">
              <w:rPr>
                <w:rFonts w:eastAsia="Times New Roman" w:cs="Arial"/>
                <w:b/>
                <w:bCs/>
                <w:sz w:val="16"/>
                <w:szCs w:val="16"/>
                <w:lang w:val="en-US" w:eastAsia="en-GB"/>
              </w:rPr>
              <w:t>Dec-21</w:t>
            </w:r>
          </w:p>
        </w:tc>
      </w:tr>
      <w:tr w:rsidR="00B74E15" w:rsidRPr="00D36801" w14:paraId="70E09F52" w14:textId="77777777" w:rsidTr="00B6382B">
        <w:trPr>
          <w:trHeight w:val="240"/>
        </w:trPr>
        <w:tc>
          <w:tcPr>
            <w:tcW w:w="1596" w:type="pct"/>
            <w:shd w:val="clear" w:color="000000" w:fill="FFFFFF"/>
            <w:noWrap/>
            <w:vAlign w:val="center"/>
          </w:tcPr>
          <w:p w14:paraId="330C31F7" w14:textId="77777777" w:rsidR="00B74E15" w:rsidRPr="00D36801" w:rsidRDefault="00B74E15" w:rsidP="00B6382B">
            <w:pPr>
              <w:spacing w:line="240" w:lineRule="auto"/>
              <w:ind w:firstLineChars="100" w:firstLine="160"/>
              <w:jc w:val="left"/>
              <w:rPr>
                <w:rFonts w:eastAsia="Times New Roman" w:cs="Arial"/>
                <w:sz w:val="16"/>
                <w:szCs w:val="16"/>
                <w:lang w:val="en-US" w:eastAsia="en-GB"/>
              </w:rPr>
            </w:pPr>
            <w:r>
              <w:rPr>
                <w:rFonts w:eastAsia="Times New Roman" w:cs="Arial"/>
                <w:sz w:val="16"/>
                <w:szCs w:val="16"/>
                <w:lang w:val="en-US" w:eastAsia="en-GB"/>
              </w:rPr>
              <w:t>ROE</w:t>
            </w:r>
          </w:p>
        </w:tc>
        <w:tc>
          <w:tcPr>
            <w:tcW w:w="681" w:type="pct"/>
            <w:shd w:val="clear" w:color="000000" w:fill="FFFFFF"/>
            <w:noWrap/>
            <w:vAlign w:val="center"/>
          </w:tcPr>
          <w:p w14:paraId="75E5A9F8" w14:textId="77777777" w:rsidR="00B74E15" w:rsidRPr="00B6382B" w:rsidRDefault="00CB7F4B" w:rsidP="00B6382B">
            <w:pPr>
              <w:spacing w:line="240" w:lineRule="auto"/>
              <w:ind w:firstLineChars="100" w:firstLine="160"/>
              <w:jc w:val="right"/>
              <w:rPr>
                <w:rFonts w:cs="Arial"/>
                <w:sz w:val="16"/>
                <w:szCs w:val="16"/>
                <w:lang w:val="en-US"/>
              </w:rPr>
            </w:pPr>
            <w:r>
              <w:rPr>
                <w:rFonts w:cs="Arial"/>
                <w:sz w:val="16"/>
                <w:szCs w:val="16"/>
                <w:lang w:val="en-US"/>
              </w:rPr>
              <w:t>(8.8%)</w:t>
            </w:r>
          </w:p>
        </w:tc>
        <w:tc>
          <w:tcPr>
            <w:tcW w:w="681" w:type="pct"/>
            <w:shd w:val="clear" w:color="000000" w:fill="FFFFFF"/>
            <w:noWrap/>
            <w:vAlign w:val="center"/>
          </w:tcPr>
          <w:p w14:paraId="06B675C0" w14:textId="77777777" w:rsidR="00B74E15" w:rsidRPr="00D36801" w:rsidRDefault="00BA16CC"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3%</w:t>
            </w:r>
          </w:p>
        </w:tc>
        <w:tc>
          <w:tcPr>
            <w:tcW w:w="681" w:type="pct"/>
            <w:shd w:val="clear" w:color="000000" w:fill="FFFFFF"/>
            <w:noWrap/>
            <w:vAlign w:val="center"/>
          </w:tcPr>
          <w:p w14:paraId="20CFF489"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(10.4%)</w:t>
            </w:r>
          </w:p>
        </w:tc>
        <w:tc>
          <w:tcPr>
            <w:tcW w:w="681" w:type="pct"/>
            <w:shd w:val="clear" w:color="000000" w:fill="FFFFFF"/>
            <w:noWrap/>
            <w:vAlign w:val="center"/>
          </w:tcPr>
          <w:p w14:paraId="64E4DE92"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2.6%</w:t>
            </w:r>
          </w:p>
        </w:tc>
        <w:tc>
          <w:tcPr>
            <w:tcW w:w="680" w:type="pct"/>
            <w:shd w:val="clear" w:color="000000" w:fill="FFFFFF"/>
            <w:noWrap/>
            <w:vAlign w:val="center"/>
          </w:tcPr>
          <w:p w14:paraId="3B3B66B9"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14.9%</w:t>
            </w:r>
          </w:p>
        </w:tc>
      </w:tr>
      <w:tr w:rsidR="00B74E15" w:rsidRPr="00D36801" w14:paraId="70AEA86E" w14:textId="77777777" w:rsidTr="00B6382B">
        <w:trPr>
          <w:trHeight w:val="240"/>
        </w:trPr>
        <w:tc>
          <w:tcPr>
            <w:tcW w:w="1596" w:type="pct"/>
            <w:shd w:val="clear" w:color="000000" w:fill="FFFFFF"/>
            <w:noWrap/>
            <w:vAlign w:val="center"/>
          </w:tcPr>
          <w:p w14:paraId="744CFE01" w14:textId="77777777" w:rsidR="00B74E15" w:rsidRPr="00D36801" w:rsidRDefault="00B74E15" w:rsidP="00B6382B">
            <w:pPr>
              <w:spacing w:line="240" w:lineRule="auto"/>
              <w:ind w:firstLineChars="100" w:firstLine="160"/>
              <w:jc w:val="left"/>
              <w:rPr>
                <w:rFonts w:eastAsia="Times New Roman" w:cs="Arial"/>
                <w:sz w:val="16"/>
                <w:szCs w:val="16"/>
                <w:lang w:val="en-US" w:eastAsia="en-GB"/>
              </w:rPr>
            </w:pPr>
            <w:r>
              <w:rPr>
                <w:rFonts w:eastAsia="Times New Roman" w:cs="Arial"/>
                <w:sz w:val="16"/>
                <w:szCs w:val="16"/>
                <w:lang w:val="en-US" w:eastAsia="en-GB"/>
              </w:rPr>
              <w:t>ROA</w:t>
            </w:r>
          </w:p>
        </w:tc>
        <w:tc>
          <w:tcPr>
            <w:tcW w:w="681" w:type="pct"/>
            <w:shd w:val="clear" w:color="000000" w:fill="FFFFFF"/>
            <w:noWrap/>
            <w:vAlign w:val="center"/>
          </w:tcPr>
          <w:p w14:paraId="48B957E3" w14:textId="77777777" w:rsidR="00B74E15" w:rsidRPr="00B6382B" w:rsidRDefault="00CB7F4B" w:rsidP="00B6382B">
            <w:pPr>
              <w:spacing w:line="240" w:lineRule="auto"/>
              <w:ind w:firstLineChars="100" w:firstLine="160"/>
              <w:jc w:val="right"/>
              <w:rPr>
                <w:rFonts w:cs="Arial"/>
                <w:sz w:val="16"/>
                <w:szCs w:val="16"/>
                <w:lang w:val="en-US"/>
              </w:rPr>
            </w:pPr>
            <w:r>
              <w:rPr>
                <w:rFonts w:cs="Arial"/>
                <w:sz w:val="16"/>
                <w:szCs w:val="16"/>
                <w:lang w:val="en-US"/>
              </w:rPr>
              <w:t>(5.9%)</w:t>
            </w:r>
          </w:p>
        </w:tc>
        <w:tc>
          <w:tcPr>
            <w:tcW w:w="681" w:type="pct"/>
            <w:shd w:val="clear" w:color="000000" w:fill="FFFFFF"/>
            <w:noWrap/>
            <w:vAlign w:val="center"/>
          </w:tcPr>
          <w:p w14:paraId="096D6C1F" w14:textId="77777777" w:rsidR="00B74E15" w:rsidRPr="00D36801" w:rsidRDefault="00BA16CC"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1%</w:t>
            </w:r>
          </w:p>
        </w:tc>
        <w:tc>
          <w:tcPr>
            <w:tcW w:w="681" w:type="pct"/>
            <w:shd w:val="clear" w:color="000000" w:fill="FFFFFF"/>
            <w:noWrap/>
            <w:vAlign w:val="center"/>
          </w:tcPr>
          <w:p w14:paraId="45D98DC5"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(4.0%)</w:t>
            </w:r>
          </w:p>
        </w:tc>
        <w:tc>
          <w:tcPr>
            <w:tcW w:w="681" w:type="pct"/>
            <w:shd w:val="clear" w:color="000000" w:fill="FFFFFF"/>
            <w:noWrap/>
            <w:vAlign w:val="center"/>
          </w:tcPr>
          <w:p w14:paraId="4620945C"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0.7%</w:t>
            </w:r>
          </w:p>
        </w:tc>
        <w:tc>
          <w:tcPr>
            <w:tcW w:w="680" w:type="pct"/>
            <w:shd w:val="clear" w:color="000000" w:fill="FFFFFF"/>
            <w:noWrap/>
            <w:vAlign w:val="center"/>
          </w:tcPr>
          <w:p w14:paraId="6AE8666F" w14:textId="77777777" w:rsidR="00B74E15" w:rsidRPr="00D36801" w:rsidRDefault="00EF09D5" w:rsidP="00B6382B">
            <w:pPr>
              <w:spacing w:line="240" w:lineRule="auto"/>
              <w:ind w:firstLineChars="100" w:firstLine="160"/>
              <w:jc w:val="right"/>
              <w:rPr>
                <w:rFonts w:eastAsia="Times New Roman" w:cs="Arial"/>
                <w:sz w:val="16"/>
                <w:szCs w:val="16"/>
                <w:lang w:val="en-US" w:eastAsia="en-GB"/>
              </w:rPr>
            </w:pPr>
            <w:r>
              <w:rPr>
                <w:rFonts w:eastAsia="Times New Roman" w:cs="Arial"/>
                <w:sz w:val="16"/>
                <w:szCs w:val="16"/>
                <w:lang w:val="en-US" w:eastAsia="en-GB"/>
              </w:rPr>
              <w:t>2.9%</w:t>
            </w:r>
          </w:p>
        </w:tc>
      </w:tr>
      <w:tr w:rsidR="00B6382B" w:rsidRPr="00D36801" w14:paraId="02BD3838" w14:textId="77777777" w:rsidTr="00B6382B">
        <w:trPr>
          <w:trHeight w:val="240"/>
        </w:trPr>
        <w:tc>
          <w:tcPr>
            <w:tcW w:w="1596" w:type="pct"/>
            <w:shd w:val="clear" w:color="000000" w:fill="FFFFFF"/>
            <w:noWrap/>
            <w:vAlign w:val="center"/>
            <w:hideMark/>
          </w:tcPr>
          <w:p w14:paraId="77808AC1"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CET1 % </w:t>
            </w:r>
          </w:p>
        </w:tc>
        <w:tc>
          <w:tcPr>
            <w:tcW w:w="681" w:type="pct"/>
            <w:shd w:val="clear" w:color="000000" w:fill="FFFFFF"/>
            <w:noWrap/>
            <w:vAlign w:val="center"/>
            <w:hideMark/>
          </w:tcPr>
          <w:p w14:paraId="195805A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180%</w:t>
            </w:r>
          </w:p>
        </w:tc>
        <w:tc>
          <w:tcPr>
            <w:tcW w:w="681" w:type="pct"/>
            <w:shd w:val="clear" w:color="000000" w:fill="FFFFFF"/>
            <w:noWrap/>
            <w:vAlign w:val="center"/>
            <w:hideMark/>
          </w:tcPr>
          <w:p w14:paraId="60DC9A2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39%</w:t>
            </w:r>
          </w:p>
        </w:tc>
        <w:tc>
          <w:tcPr>
            <w:tcW w:w="681" w:type="pct"/>
            <w:shd w:val="clear" w:color="000000" w:fill="FFFFFF"/>
            <w:noWrap/>
            <w:vAlign w:val="center"/>
            <w:hideMark/>
          </w:tcPr>
          <w:p w14:paraId="0A137C07"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36%</w:t>
            </w:r>
          </w:p>
        </w:tc>
        <w:tc>
          <w:tcPr>
            <w:tcW w:w="681" w:type="pct"/>
            <w:shd w:val="clear" w:color="000000" w:fill="FFFFFF"/>
            <w:noWrap/>
            <w:vAlign w:val="center"/>
            <w:hideMark/>
          </w:tcPr>
          <w:p w14:paraId="2889DD8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27%</w:t>
            </w:r>
          </w:p>
        </w:tc>
        <w:tc>
          <w:tcPr>
            <w:tcW w:w="680" w:type="pct"/>
            <w:shd w:val="clear" w:color="000000" w:fill="FFFFFF"/>
            <w:noWrap/>
            <w:vAlign w:val="center"/>
            <w:hideMark/>
          </w:tcPr>
          <w:p w14:paraId="4C054F3A"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20%</w:t>
            </w:r>
          </w:p>
        </w:tc>
      </w:tr>
      <w:tr w:rsidR="00B6382B" w:rsidRPr="00D36801" w14:paraId="694C18A5" w14:textId="77777777" w:rsidTr="00B6382B">
        <w:trPr>
          <w:trHeight w:val="240"/>
        </w:trPr>
        <w:tc>
          <w:tcPr>
            <w:tcW w:w="1596" w:type="pct"/>
            <w:shd w:val="clear" w:color="000000" w:fill="FFFFFF"/>
            <w:noWrap/>
            <w:vAlign w:val="center"/>
            <w:hideMark/>
          </w:tcPr>
          <w:p w14:paraId="30226F25"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Total capital % </w:t>
            </w:r>
          </w:p>
        </w:tc>
        <w:tc>
          <w:tcPr>
            <w:tcW w:w="681" w:type="pct"/>
            <w:shd w:val="clear" w:color="000000" w:fill="FFFFFF"/>
            <w:noWrap/>
            <w:vAlign w:val="center"/>
            <w:hideMark/>
          </w:tcPr>
          <w:p w14:paraId="340EBE2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180%</w:t>
            </w:r>
          </w:p>
        </w:tc>
        <w:tc>
          <w:tcPr>
            <w:tcW w:w="681" w:type="pct"/>
            <w:shd w:val="clear" w:color="000000" w:fill="FFFFFF"/>
            <w:noWrap/>
            <w:vAlign w:val="center"/>
            <w:hideMark/>
          </w:tcPr>
          <w:p w14:paraId="34A0C0BF"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39%</w:t>
            </w:r>
          </w:p>
        </w:tc>
        <w:tc>
          <w:tcPr>
            <w:tcW w:w="681" w:type="pct"/>
            <w:shd w:val="clear" w:color="000000" w:fill="FFFFFF"/>
            <w:noWrap/>
            <w:vAlign w:val="center"/>
            <w:hideMark/>
          </w:tcPr>
          <w:p w14:paraId="160F212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36%</w:t>
            </w:r>
          </w:p>
        </w:tc>
        <w:tc>
          <w:tcPr>
            <w:tcW w:w="681" w:type="pct"/>
            <w:shd w:val="clear" w:color="000000" w:fill="FFFFFF"/>
            <w:noWrap/>
            <w:vAlign w:val="center"/>
            <w:hideMark/>
          </w:tcPr>
          <w:p w14:paraId="5D78814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27%</w:t>
            </w:r>
          </w:p>
        </w:tc>
        <w:tc>
          <w:tcPr>
            <w:tcW w:w="680" w:type="pct"/>
            <w:shd w:val="clear" w:color="000000" w:fill="FFFFFF"/>
            <w:noWrap/>
            <w:vAlign w:val="center"/>
            <w:hideMark/>
          </w:tcPr>
          <w:p w14:paraId="73038682"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20%</w:t>
            </w:r>
          </w:p>
        </w:tc>
      </w:tr>
      <w:tr w:rsidR="00B6382B" w:rsidRPr="00D36801" w14:paraId="2055F6D0" w14:textId="77777777" w:rsidTr="00B6382B">
        <w:trPr>
          <w:trHeight w:val="240"/>
        </w:trPr>
        <w:tc>
          <w:tcPr>
            <w:tcW w:w="1596" w:type="pct"/>
            <w:shd w:val="clear" w:color="000000" w:fill="FFFFFF"/>
            <w:noWrap/>
            <w:vAlign w:val="center"/>
            <w:hideMark/>
          </w:tcPr>
          <w:p w14:paraId="275A4FAE"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 xml:space="preserve">Credit </w:t>
            </w:r>
            <w:r w:rsidR="00EF09D5">
              <w:rPr>
                <w:rFonts w:eastAsia="Times New Roman" w:cs="Arial"/>
                <w:sz w:val="16"/>
                <w:szCs w:val="16"/>
                <w:lang w:val="en-US" w:eastAsia="en-GB"/>
              </w:rPr>
              <w:t xml:space="preserve">loss </w:t>
            </w:r>
            <w:r w:rsidRPr="00D36801">
              <w:rPr>
                <w:rFonts w:eastAsia="Times New Roman" w:cs="Arial"/>
                <w:sz w:val="16"/>
                <w:szCs w:val="16"/>
                <w:lang w:val="en-US" w:eastAsia="en-GB"/>
              </w:rPr>
              <w:t xml:space="preserve">ratio </w:t>
            </w:r>
          </w:p>
        </w:tc>
        <w:tc>
          <w:tcPr>
            <w:tcW w:w="681" w:type="pct"/>
            <w:shd w:val="clear" w:color="000000" w:fill="FFFFFF"/>
            <w:noWrap/>
            <w:vAlign w:val="center"/>
            <w:hideMark/>
          </w:tcPr>
          <w:p w14:paraId="4EAF829A"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5%</w:t>
            </w:r>
          </w:p>
        </w:tc>
        <w:tc>
          <w:tcPr>
            <w:tcW w:w="681" w:type="pct"/>
            <w:shd w:val="clear" w:color="000000" w:fill="FFFFFF"/>
            <w:noWrap/>
            <w:vAlign w:val="center"/>
            <w:hideMark/>
          </w:tcPr>
          <w:p w14:paraId="3E323738"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n.a.</w:t>
            </w:r>
          </w:p>
        </w:tc>
        <w:tc>
          <w:tcPr>
            <w:tcW w:w="681" w:type="pct"/>
            <w:shd w:val="clear" w:color="000000" w:fill="FFFFFF"/>
            <w:noWrap/>
            <w:vAlign w:val="center"/>
            <w:hideMark/>
          </w:tcPr>
          <w:p w14:paraId="277D410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w:t>
            </w:r>
          </w:p>
        </w:tc>
        <w:tc>
          <w:tcPr>
            <w:tcW w:w="681" w:type="pct"/>
            <w:shd w:val="clear" w:color="000000" w:fill="FFFFFF"/>
            <w:noWrap/>
            <w:vAlign w:val="center"/>
            <w:hideMark/>
          </w:tcPr>
          <w:p w14:paraId="0B35642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w:t>
            </w:r>
          </w:p>
        </w:tc>
        <w:tc>
          <w:tcPr>
            <w:tcW w:w="680" w:type="pct"/>
            <w:shd w:val="clear" w:color="000000" w:fill="FFFFFF"/>
            <w:noWrap/>
            <w:vAlign w:val="center"/>
            <w:hideMark/>
          </w:tcPr>
          <w:p w14:paraId="1A50944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2%</w:t>
            </w:r>
          </w:p>
        </w:tc>
      </w:tr>
      <w:tr w:rsidR="00B6382B" w:rsidRPr="00D36801" w14:paraId="0D3EDDD6" w14:textId="77777777" w:rsidTr="00B6382B">
        <w:trPr>
          <w:trHeight w:val="240"/>
        </w:trPr>
        <w:tc>
          <w:tcPr>
            <w:tcW w:w="1596" w:type="pct"/>
            <w:shd w:val="clear" w:color="000000" w:fill="FFFFFF"/>
            <w:noWrap/>
            <w:vAlign w:val="center"/>
            <w:hideMark/>
          </w:tcPr>
          <w:p w14:paraId="1CEA3CD1"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C</w:t>
            </w:r>
            <w:r w:rsidR="00EF09D5">
              <w:rPr>
                <w:rFonts w:eastAsia="Times New Roman" w:cs="Arial"/>
                <w:sz w:val="16"/>
                <w:szCs w:val="16"/>
                <w:lang w:val="en-US" w:eastAsia="en-GB"/>
              </w:rPr>
              <w:t>ost to income ratio</w:t>
            </w:r>
          </w:p>
        </w:tc>
        <w:tc>
          <w:tcPr>
            <w:tcW w:w="681" w:type="pct"/>
            <w:shd w:val="clear" w:color="000000" w:fill="FFFFFF"/>
            <w:noWrap/>
            <w:vAlign w:val="center"/>
            <w:hideMark/>
          </w:tcPr>
          <w:p w14:paraId="612BDAB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168%</w:t>
            </w:r>
          </w:p>
        </w:tc>
        <w:tc>
          <w:tcPr>
            <w:tcW w:w="681" w:type="pct"/>
            <w:shd w:val="clear" w:color="000000" w:fill="FFFFFF"/>
            <w:noWrap/>
            <w:vAlign w:val="center"/>
            <w:hideMark/>
          </w:tcPr>
          <w:p w14:paraId="6A719E0D"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89%</w:t>
            </w:r>
          </w:p>
        </w:tc>
        <w:tc>
          <w:tcPr>
            <w:tcW w:w="681" w:type="pct"/>
            <w:shd w:val="clear" w:color="000000" w:fill="FFFFFF"/>
            <w:noWrap/>
            <w:vAlign w:val="center"/>
            <w:hideMark/>
          </w:tcPr>
          <w:p w14:paraId="23C94C3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121%</w:t>
            </w:r>
          </w:p>
        </w:tc>
        <w:tc>
          <w:tcPr>
            <w:tcW w:w="681" w:type="pct"/>
            <w:shd w:val="clear" w:color="000000" w:fill="FFFFFF"/>
            <w:noWrap/>
            <w:vAlign w:val="center"/>
            <w:hideMark/>
          </w:tcPr>
          <w:p w14:paraId="7C7CA3C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82%</w:t>
            </w:r>
          </w:p>
        </w:tc>
        <w:tc>
          <w:tcPr>
            <w:tcW w:w="680" w:type="pct"/>
            <w:shd w:val="clear" w:color="000000" w:fill="FFFFFF"/>
            <w:noWrap/>
            <w:vAlign w:val="center"/>
            <w:hideMark/>
          </w:tcPr>
          <w:p w14:paraId="54A3068B"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65%</w:t>
            </w:r>
          </w:p>
        </w:tc>
      </w:tr>
      <w:tr w:rsidR="00B6382B" w:rsidRPr="00D36801" w14:paraId="24504CED" w14:textId="77777777" w:rsidTr="00B6382B">
        <w:trPr>
          <w:trHeight w:val="240"/>
        </w:trPr>
        <w:tc>
          <w:tcPr>
            <w:tcW w:w="1596" w:type="pct"/>
            <w:shd w:val="clear" w:color="000000" w:fill="FFFFFF"/>
            <w:noWrap/>
            <w:vAlign w:val="center"/>
            <w:hideMark/>
          </w:tcPr>
          <w:p w14:paraId="3FD11E54"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Loan/</w:t>
            </w:r>
            <w:r w:rsidR="00CB7F4B">
              <w:rPr>
                <w:rFonts w:eastAsia="Times New Roman" w:cs="Arial"/>
                <w:sz w:val="16"/>
                <w:szCs w:val="16"/>
                <w:lang w:val="en-US" w:eastAsia="en-GB"/>
              </w:rPr>
              <w:t>r</w:t>
            </w:r>
            <w:r w:rsidRPr="00D36801">
              <w:rPr>
                <w:rFonts w:eastAsia="Times New Roman" w:cs="Arial"/>
                <w:sz w:val="16"/>
                <w:szCs w:val="16"/>
                <w:lang w:val="en-US" w:eastAsia="en-GB"/>
              </w:rPr>
              <w:t xml:space="preserve">etail deposits </w:t>
            </w:r>
          </w:p>
        </w:tc>
        <w:tc>
          <w:tcPr>
            <w:tcW w:w="681" w:type="pct"/>
            <w:shd w:val="clear" w:color="000000" w:fill="FFFFFF"/>
            <w:noWrap/>
            <w:vAlign w:val="center"/>
            <w:hideMark/>
          </w:tcPr>
          <w:p w14:paraId="54855036"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46%</w:t>
            </w:r>
          </w:p>
        </w:tc>
        <w:tc>
          <w:tcPr>
            <w:tcW w:w="681" w:type="pct"/>
            <w:shd w:val="clear" w:color="000000" w:fill="FFFFFF"/>
            <w:noWrap/>
            <w:vAlign w:val="center"/>
            <w:hideMark/>
          </w:tcPr>
          <w:p w14:paraId="1962FD56"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592%</w:t>
            </w:r>
          </w:p>
        </w:tc>
        <w:tc>
          <w:tcPr>
            <w:tcW w:w="681" w:type="pct"/>
            <w:shd w:val="clear" w:color="000000" w:fill="FFFFFF"/>
            <w:noWrap/>
            <w:vAlign w:val="center"/>
            <w:hideMark/>
          </w:tcPr>
          <w:p w14:paraId="059D9E4B"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89%</w:t>
            </w:r>
          </w:p>
        </w:tc>
        <w:tc>
          <w:tcPr>
            <w:tcW w:w="681" w:type="pct"/>
            <w:shd w:val="clear" w:color="000000" w:fill="FFFFFF"/>
            <w:noWrap/>
            <w:vAlign w:val="center"/>
            <w:hideMark/>
          </w:tcPr>
          <w:p w14:paraId="0ACE52C1"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86%</w:t>
            </w:r>
          </w:p>
        </w:tc>
        <w:tc>
          <w:tcPr>
            <w:tcW w:w="680" w:type="pct"/>
            <w:shd w:val="clear" w:color="000000" w:fill="FFFFFF"/>
            <w:noWrap/>
            <w:vAlign w:val="center"/>
            <w:hideMark/>
          </w:tcPr>
          <w:p w14:paraId="28496FB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79%</w:t>
            </w:r>
          </w:p>
        </w:tc>
      </w:tr>
      <w:tr w:rsidR="00B6382B" w:rsidRPr="00D36801" w14:paraId="018E2FD1" w14:textId="77777777" w:rsidTr="00B6382B">
        <w:trPr>
          <w:trHeight w:val="240"/>
        </w:trPr>
        <w:tc>
          <w:tcPr>
            <w:tcW w:w="1596" w:type="pct"/>
            <w:shd w:val="clear" w:color="000000" w:fill="FFFFFF"/>
            <w:noWrap/>
            <w:vAlign w:val="bottom"/>
            <w:hideMark/>
          </w:tcPr>
          <w:p w14:paraId="37A3DA78" w14:textId="77777777" w:rsidR="00B6382B" w:rsidRPr="00D36801" w:rsidRDefault="00B6382B" w:rsidP="00B6382B">
            <w:pPr>
              <w:spacing w:line="240" w:lineRule="auto"/>
              <w:ind w:firstLineChars="100" w:firstLine="160"/>
              <w:jc w:val="left"/>
              <w:rPr>
                <w:rFonts w:eastAsia="Times New Roman" w:cs="Arial"/>
                <w:sz w:val="16"/>
                <w:szCs w:val="16"/>
                <w:lang w:eastAsia="en-GB"/>
              </w:rPr>
            </w:pPr>
            <w:r w:rsidRPr="00D36801">
              <w:rPr>
                <w:rFonts w:eastAsia="Times New Roman" w:cs="Arial"/>
                <w:sz w:val="16"/>
                <w:szCs w:val="16"/>
                <w:lang w:val="en-US" w:eastAsia="en-GB"/>
              </w:rPr>
              <w:t>Liquid assets/</w:t>
            </w:r>
            <w:r w:rsidR="00CB7F4B">
              <w:rPr>
                <w:rFonts w:eastAsia="Times New Roman" w:cs="Arial"/>
                <w:sz w:val="16"/>
                <w:szCs w:val="16"/>
                <w:lang w:val="en-US" w:eastAsia="en-GB"/>
              </w:rPr>
              <w:t>t</w:t>
            </w:r>
            <w:r w:rsidRPr="00D36801">
              <w:rPr>
                <w:rFonts w:eastAsia="Times New Roman" w:cs="Arial"/>
                <w:sz w:val="16"/>
                <w:szCs w:val="16"/>
                <w:lang w:val="en-US" w:eastAsia="en-GB"/>
              </w:rPr>
              <w:t xml:space="preserve">otal assets </w:t>
            </w:r>
          </w:p>
        </w:tc>
        <w:tc>
          <w:tcPr>
            <w:tcW w:w="681" w:type="pct"/>
            <w:shd w:val="clear" w:color="000000" w:fill="FFFFFF"/>
            <w:noWrap/>
            <w:vAlign w:val="bottom"/>
            <w:hideMark/>
          </w:tcPr>
          <w:p w14:paraId="2400F42E"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B6382B">
              <w:rPr>
                <w:rFonts w:cs="Arial"/>
                <w:sz w:val="16"/>
                <w:szCs w:val="16"/>
                <w:lang w:val="en-US"/>
              </w:rPr>
              <w:t>74%</w:t>
            </w:r>
          </w:p>
        </w:tc>
        <w:tc>
          <w:tcPr>
            <w:tcW w:w="681" w:type="pct"/>
            <w:shd w:val="clear" w:color="000000" w:fill="FFFFFF"/>
            <w:noWrap/>
            <w:vAlign w:val="bottom"/>
            <w:hideMark/>
          </w:tcPr>
          <w:p w14:paraId="53A4403B"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10%</w:t>
            </w:r>
          </w:p>
        </w:tc>
        <w:tc>
          <w:tcPr>
            <w:tcW w:w="681" w:type="pct"/>
            <w:shd w:val="clear" w:color="000000" w:fill="FFFFFF"/>
            <w:noWrap/>
            <w:vAlign w:val="bottom"/>
            <w:hideMark/>
          </w:tcPr>
          <w:p w14:paraId="5F410820"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37%</w:t>
            </w:r>
          </w:p>
        </w:tc>
        <w:tc>
          <w:tcPr>
            <w:tcW w:w="681" w:type="pct"/>
            <w:shd w:val="clear" w:color="000000" w:fill="FFFFFF"/>
            <w:noWrap/>
            <w:vAlign w:val="bottom"/>
            <w:hideMark/>
          </w:tcPr>
          <w:p w14:paraId="5CE194A8"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32%</w:t>
            </w:r>
          </w:p>
        </w:tc>
        <w:tc>
          <w:tcPr>
            <w:tcW w:w="680" w:type="pct"/>
            <w:shd w:val="clear" w:color="000000" w:fill="FFFFFF"/>
            <w:noWrap/>
            <w:vAlign w:val="bottom"/>
            <w:hideMark/>
          </w:tcPr>
          <w:p w14:paraId="5510D37C" w14:textId="77777777" w:rsidR="00B6382B" w:rsidRPr="00D36801" w:rsidRDefault="00B6382B" w:rsidP="00B6382B">
            <w:pPr>
              <w:spacing w:line="240" w:lineRule="auto"/>
              <w:ind w:firstLineChars="100" w:firstLine="160"/>
              <w:jc w:val="right"/>
              <w:rPr>
                <w:rFonts w:eastAsia="Times New Roman" w:cs="Arial"/>
                <w:sz w:val="16"/>
                <w:szCs w:val="16"/>
                <w:lang w:eastAsia="en-GB"/>
              </w:rPr>
            </w:pPr>
            <w:r w:rsidRPr="00D36801">
              <w:rPr>
                <w:rFonts w:eastAsia="Times New Roman" w:cs="Arial"/>
                <w:sz w:val="16"/>
                <w:szCs w:val="16"/>
                <w:lang w:val="en-US" w:eastAsia="en-GB"/>
              </w:rPr>
              <w:t>31%</w:t>
            </w:r>
          </w:p>
        </w:tc>
      </w:tr>
    </w:tbl>
    <w:p w14:paraId="46CD0A64" w14:textId="77777777" w:rsidR="00D36801" w:rsidRDefault="00D36801"/>
    <w:p w14:paraId="43147146" w14:textId="525881BA" w:rsidR="003B47AF" w:rsidRDefault="003B47AF">
      <w:r>
        <w:t xml:space="preserve">Based on initial </w:t>
      </w:r>
      <w:r w:rsidR="00E66E1D">
        <w:t>discussions</w:t>
      </w:r>
      <w:r>
        <w:t xml:space="preserve"> with the combined management team, there is scope to improve these forecasts if the following targets are achieved for the business</w:t>
      </w:r>
      <w:r w:rsidR="008445A3">
        <w:t>:</w:t>
      </w:r>
    </w:p>
    <w:tbl>
      <w:tblPr>
        <w:tblpPr w:leftFromText="180" w:rightFromText="180" w:vertAnchor="text" w:horzAnchor="margin" w:tblpY="158"/>
        <w:tblW w:w="5030" w:type="pct"/>
        <w:tblLayout w:type="fixed"/>
        <w:tblCellMar>
          <w:left w:w="0" w:type="dxa"/>
          <w:right w:w="0" w:type="dxa"/>
        </w:tblCellMar>
        <w:tblLook w:val="0600" w:firstRow="0" w:lastRow="0" w:firstColumn="0" w:lastColumn="0" w:noHBand="1" w:noVBand="1"/>
      </w:tblPr>
      <w:tblGrid>
        <w:gridCol w:w="2397"/>
        <w:gridCol w:w="568"/>
        <w:gridCol w:w="568"/>
        <w:gridCol w:w="568"/>
        <w:gridCol w:w="5585"/>
      </w:tblGrid>
      <w:tr w:rsidR="00B74E15" w:rsidRPr="008445A3" w14:paraId="54E97F39" w14:textId="77777777" w:rsidTr="000F5D58">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FDF1A3"/>
            <w:tcMar>
              <w:top w:w="12" w:type="dxa"/>
              <w:left w:w="106" w:type="dxa"/>
              <w:bottom w:w="0" w:type="dxa"/>
              <w:right w:w="12" w:type="dxa"/>
            </w:tcMar>
            <w:vAlign w:val="center"/>
            <w:hideMark/>
          </w:tcPr>
          <w:p w14:paraId="024A72A9" w14:textId="77777777" w:rsidR="00B74E15" w:rsidRPr="00BF546F" w:rsidRDefault="00B74E15" w:rsidP="00B74E15">
            <w:pPr>
              <w:spacing w:line="240" w:lineRule="auto"/>
              <w:jc w:val="left"/>
              <w:textAlignment w:val="center"/>
              <w:rPr>
                <w:rFonts w:eastAsia="Times New Roman" w:cs="Arial"/>
                <w:b/>
                <w:sz w:val="16"/>
                <w:szCs w:val="16"/>
                <w:lang w:eastAsia="en-GB"/>
              </w:rPr>
            </w:pPr>
            <w:r w:rsidRPr="00BF546F">
              <w:rPr>
                <w:rFonts w:eastAsia="Times New Roman" w:cs="Arial"/>
                <w:b/>
                <w:sz w:val="16"/>
                <w:szCs w:val="16"/>
                <w:lang w:eastAsia="en-GB"/>
              </w:rPr>
              <w:t>Upside case</w:t>
            </w:r>
          </w:p>
        </w:tc>
        <w:tc>
          <w:tcPr>
            <w:tcW w:w="293"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7D1D63E7" w14:textId="77777777" w:rsidR="00B74E15" w:rsidRPr="008445A3" w:rsidRDefault="00B74E15" w:rsidP="00B74E15">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2019</w:t>
            </w:r>
          </w:p>
        </w:tc>
        <w:tc>
          <w:tcPr>
            <w:tcW w:w="293"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6B8EA30F" w14:textId="77777777" w:rsidR="00B74E15" w:rsidRPr="008445A3" w:rsidRDefault="00B74E15" w:rsidP="00B74E15">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2020</w:t>
            </w:r>
          </w:p>
        </w:tc>
        <w:tc>
          <w:tcPr>
            <w:tcW w:w="293" w:type="pct"/>
            <w:tcBorders>
              <w:top w:val="single" w:sz="4" w:space="0" w:color="000000"/>
              <w:left w:val="single" w:sz="4" w:space="0" w:color="000000"/>
              <w:bottom w:val="single" w:sz="4" w:space="0" w:color="000000"/>
              <w:right w:val="single" w:sz="4" w:space="0" w:color="000000"/>
            </w:tcBorders>
            <w:shd w:val="clear" w:color="auto" w:fill="FDF1A3"/>
            <w:tcMar>
              <w:top w:w="12" w:type="dxa"/>
              <w:left w:w="57" w:type="dxa"/>
              <w:bottom w:w="0" w:type="dxa"/>
              <w:right w:w="57" w:type="dxa"/>
            </w:tcMar>
            <w:vAlign w:val="center"/>
            <w:hideMark/>
          </w:tcPr>
          <w:p w14:paraId="5A1256E1" w14:textId="77777777" w:rsidR="00B74E15" w:rsidRPr="008445A3" w:rsidRDefault="00B74E15" w:rsidP="00B74E15">
            <w:pPr>
              <w:spacing w:line="240" w:lineRule="auto"/>
              <w:jc w:val="right"/>
              <w:textAlignment w:val="center"/>
              <w:rPr>
                <w:rFonts w:eastAsia="Times New Roman" w:cs="Arial"/>
                <w:sz w:val="16"/>
                <w:szCs w:val="16"/>
                <w:lang w:eastAsia="en-GB"/>
              </w:rPr>
            </w:pPr>
            <w:r w:rsidRPr="008445A3">
              <w:rPr>
                <w:rFonts w:eastAsia="Times New Roman" w:cs="Arial"/>
                <w:b/>
                <w:bCs/>
                <w:kern w:val="24"/>
                <w:sz w:val="16"/>
                <w:szCs w:val="16"/>
                <w:lang w:eastAsia="en-GB"/>
              </w:rPr>
              <w:t>2021</w:t>
            </w:r>
          </w:p>
        </w:tc>
        <w:tc>
          <w:tcPr>
            <w:tcW w:w="2882" w:type="pct"/>
            <w:tcBorders>
              <w:top w:val="single" w:sz="4" w:space="0" w:color="000000"/>
              <w:left w:val="single" w:sz="4" w:space="0" w:color="000000"/>
              <w:bottom w:val="single" w:sz="4" w:space="0" w:color="000000"/>
              <w:right w:val="single" w:sz="4" w:space="0" w:color="000000"/>
            </w:tcBorders>
            <w:shd w:val="clear" w:color="auto" w:fill="FDF1A3"/>
            <w:tcMar>
              <w:top w:w="12" w:type="dxa"/>
              <w:left w:w="106" w:type="dxa"/>
              <w:bottom w:w="0" w:type="dxa"/>
              <w:right w:w="12" w:type="dxa"/>
            </w:tcMar>
            <w:vAlign w:val="center"/>
            <w:hideMark/>
          </w:tcPr>
          <w:p w14:paraId="0C9BED41" w14:textId="77777777" w:rsidR="00B74E15" w:rsidRPr="008445A3" w:rsidRDefault="00B74E15" w:rsidP="00B74E15">
            <w:pPr>
              <w:spacing w:line="240" w:lineRule="auto"/>
              <w:jc w:val="left"/>
              <w:textAlignment w:val="center"/>
              <w:rPr>
                <w:rFonts w:eastAsia="Times New Roman" w:cs="Arial"/>
                <w:sz w:val="16"/>
                <w:szCs w:val="16"/>
                <w:lang w:eastAsia="en-GB"/>
              </w:rPr>
            </w:pPr>
            <w:r w:rsidRPr="008445A3">
              <w:rPr>
                <w:rFonts w:eastAsia="Times New Roman" w:cs="Arial"/>
                <w:b/>
                <w:bCs/>
                <w:kern w:val="24"/>
                <w:sz w:val="16"/>
                <w:szCs w:val="16"/>
                <w:lang w:eastAsia="en-GB"/>
              </w:rPr>
              <w:t>Comment on assumptions</w:t>
            </w:r>
          </w:p>
        </w:tc>
      </w:tr>
      <w:tr w:rsidR="00B74E15" w:rsidRPr="008445A3" w14:paraId="004FA7DC" w14:textId="77777777" w:rsidTr="000F5D58">
        <w:trPr>
          <w:trHeight w:val="267"/>
        </w:trPr>
        <w:tc>
          <w:tcPr>
            <w:tcW w:w="1238" w:type="pct"/>
            <w:tcBorders>
              <w:top w:val="single" w:sz="4" w:space="0" w:color="000000"/>
              <w:left w:val="single" w:sz="4" w:space="0" w:color="000000"/>
              <w:bottom w:val="single" w:sz="4" w:space="0" w:color="000000"/>
            </w:tcBorders>
            <w:shd w:val="clear" w:color="auto" w:fill="E4E3E5" w:themeFill="text2" w:themeFillTint="33"/>
            <w:tcMar>
              <w:top w:w="12" w:type="dxa"/>
              <w:left w:w="106" w:type="dxa"/>
              <w:bottom w:w="0" w:type="dxa"/>
              <w:right w:w="12" w:type="dxa"/>
            </w:tcMar>
            <w:vAlign w:val="center"/>
            <w:hideMark/>
          </w:tcPr>
          <w:p w14:paraId="1CC298C8" w14:textId="77777777" w:rsidR="00B74E15" w:rsidRPr="008445A3" w:rsidRDefault="00B74E15" w:rsidP="00B74E15">
            <w:pPr>
              <w:spacing w:line="240" w:lineRule="auto"/>
              <w:jc w:val="left"/>
              <w:textAlignment w:val="center"/>
              <w:rPr>
                <w:rFonts w:eastAsia="Times New Roman" w:cs="Arial"/>
                <w:sz w:val="16"/>
                <w:szCs w:val="16"/>
                <w:lang w:eastAsia="en-GB"/>
              </w:rPr>
            </w:pPr>
            <w:r>
              <w:rPr>
                <w:rFonts w:eastAsia="Times New Roman" w:cs="Arial"/>
                <w:b/>
                <w:sz w:val="16"/>
                <w:szCs w:val="16"/>
                <w:lang w:eastAsia="en-GB"/>
              </w:rPr>
              <w:t xml:space="preserve">Growth </w:t>
            </w:r>
            <w:r w:rsidRPr="008445A3">
              <w:rPr>
                <w:rFonts w:eastAsia="Times New Roman" w:cs="Arial"/>
                <w:b/>
                <w:sz w:val="16"/>
                <w:szCs w:val="16"/>
                <w:lang w:eastAsia="en-GB"/>
              </w:rPr>
              <w:t>assumptions</w:t>
            </w:r>
          </w:p>
        </w:tc>
        <w:tc>
          <w:tcPr>
            <w:tcW w:w="293"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706BF9C9" w14:textId="77777777" w:rsidR="00B74E15" w:rsidRPr="008445A3" w:rsidRDefault="00B74E15" w:rsidP="00B74E15">
            <w:pPr>
              <w:spacing w:line="240" w:lineRule="auto"/>
              <w:jc w:val="right"/>
              <w:textAlignment w:val="center"/>
              <w:rPr>
                <w:rFonts w:eastAsia="Times New Roman" w:cs="Arial"/>
                <w:sz w:val="16"/>
                <w:szCs w:val="16"/>
                <w:lang w:eastAsia="en-GB"/>
              </w:rPr>
            </w:pPr>
          </w:p>
        </w:tc>
        <w:tc>
          <w:tcPr>
            <w:tcW w:w="293"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795A78A5" w14:textId="77777777" w:rsidR="00B74E15" w:rsidRPr="008445A3" w:rsidRDefault="00B74E15" w:rsidP="00B74E15">
            <w:pPr>
              <w:spacing w:line="240" w:lineRule="auto"/>
              <w:jc w:val="right"/>
              <w:textAlignment w:val="center"/>
              <w:rPr>
                <w:rFonts w:eastAsia="Times New Roman" w:cs="Arial"/>
                <w:sz w:val="16"/>
                <w:szCs w:val="16"/>
                <w:lang w:eastAsia="en-GB"/>
              </w:rPr>
            </w:pPr>
          </w:p>
        </w:tc>
        <w:tc>
          <w:tcPr>
            <w:tcW w:w="293" w:type="pct"/>
            <w:tcBorders>
              <w:top w:val="single" w:sz="4" w:space="0" w:color="000000"/>
              <w:bottom w:val="single" w:sz="4" w:space="0" w:color="000000"/>
            </w:tcBorders>
            <w:shd w:val="clear" w:color="auto" w:fill="E4E3E5" w:themeFill="text2" w:themeFillTint="33"/>
            <w:tcMar>
              <w:left w:w="57" w:type="dxa"/>
              <w:right w:w="57" w:type="dxa"/>
            </w:tcMar>
            <w:vAlign w:val="center"/>
          </w:tcPr>
          <w:p w14:paraId="1ED3500C" w14:textId="77777777" w:rsidR="00B74E15" w:rsidRPr="008445A3" w:rsidRDefault="00B74E15" w:rsidP="00B74E15">
            <w:pPr>
              <w:spacing w:line="240" w:lineRule="auto"/>
              <w:jc w:val="right"/>
              <w:textAlignment w:val="center"/>
              <w:rPr>
                <w:rFonts w:eastAsia="Times New Roman" w:cs="Arial"/>
                <w:sz w:val="16"/>
                <w:szCs w:val="16"/>
                <w:lang w:eastAsia="en-GB"/>
              </w:rPr>
            </w:pPr>
          </w:p>
        </w:tc>
        <w:tc>
          <w:tcPr>
            <w:tcW w:w="2882" w:type="pct"/>
            <w:tcBorders>
              <w:top w:val="single" w:sz="4" w:space="0" w:color="000000"/>
              <w:bottom w:val="single" w:sz="4" w:space="0" w:color="000000"/>
              <w:right w:val="single" w:sz="4" w:space="0" w:color="000000"/>
            </w:tcBorders>
            <w:shd w:val="clear" w:color="auto" w:fill="E4E3E5" w:themeFill="text2" w:themeFillTint="33"/>
            <w:vAlign w:val="center"/>
          </w:tcPr>
          <w:p w14:paraId="2BB2AAD0" w14:textId="77777777" w:rsidR="00B74E15" w:rsidRPr="008445A3" w:rsidRDefault="00B74E15" w:rsidP="00B74E15">
            <w:pPr>
              <w:spacing w:line="240" w:lineRule="auto"/>
              <w:jc w:val="left"/>
              <w:textAlignment w:val="center"/>
              <w:rPr>
                <w:rFonts w:eastAsia="Times New Roman" w:cs="Arial"/>
                <w:sz w:val="16"/>
                <w:szCs w:val="16"/>
                <w:lang w:eastAsia="en-GB"/>
              </w:rPr>
            </w:pPr>
          </w:p>
        </w:tc>
      </w:tr>
      <w:tr w:rsidR="00B74E15" w:rsidRPr="008445A3" w14:paraId="48822537" w14:textId="77777777" w:rsidTr="00B74E15">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0AE7628A"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Deposit growth</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9BC03C6"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100%</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6CE9C19F"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100%</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5EB5E799"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100%</w:t>
            </w:r>
          </w:p>
        </w:tc>
        <w:tc>
          <w:tcPr>
            <w:tcW w:w="2882"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0382B5B9"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Expect strong deposit growth given low base, and focus on strategy</w:t>
            </w:r>
          </w:p>
        </w:tc>
      </w:tr>
      <w:tr w:rsidR="00B74E15" w:rsidRPr="008445A3" w14:paraId="6169DCE1" w14:textId="77777777" w:rsidTr="00B74E15">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43DA92DC"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Non-interest revenue growth</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3340E0A2"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25%</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5AF6711B"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35%</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3B5DF2DF"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35%</w:t>
            </w:r>
          </w:p>
        </w:tc>
        <w:tc>
          <w:tcPr>
            <w:tcW w:w="2882"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1E3B3B97" w14:textId="4ECC7240" w:rsidR="00B74E15" w:rsidRPr="008445A3" w:rsidRDefault="00BE5FC1" w:rsidP="00B74E15">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Strategy</w:t>
            </w:r>
            <w:r w:rsidR="00B74E15">
              <w:rPr>
                <w:rFonts w:eastAsia="Times New Roman" w:cs="Arial"/>
                <w:color w:val="000000" w:themeColor="text1"/>
                <w:kern w:val="24"/>
                <w:sz w:val="16"/>
                <w:szCs w:val="16"/>
                <w:lang w:val="en-US" w:eastAsia="en-GB"/>
              </w:rPr>
              <w:t xml:space="preserve"> to increase non-interest revenue</w:t>
            </w:r>
          </w:p>
        </w:tc>
      </w:tr>
      <w:tr w:rsidR="00B74E15" w:rsidRPr="008445A3" w14:paraId="47A92037" w14:textId="77777777" w:rsidTr="00B74E15">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354B9974"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Percentage of USD deposit</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304AB854"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50%</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3D8E4967"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50%</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6A2DAEC"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50%</w:t>
            </w:r>
          </w:p>
        </w:tc>
        <w:tc>
          <w:tcPr>
            <w:tcW w:w="2882"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00B555CC"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Strong deposit growth would correlate to higher percentage USD deposits</w:t>
            </w:r>
          </w:p>
        </w:tc>
      </w:tr>
      <w:tr w:rsidR="00B74E15" w:rsidRPr="008445A3" w14:paraId="46DC9739" w14:textId="77777777" w:rsidTr="00B74E15">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3E45C529" w14:textId="77777777" w:rsidR="00B74E15" w:rsidRDefault="00B74E15" w:rsidP="00B74E15">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Funding cost on GHS deposits</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5A97968"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8%</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21A35783"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8%</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1260F012"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8%</w:t>
            </w:r>
          </w:p>
        </w:tc>
        <w:tc>
          <w:tcPr>
            <w:tcW w:w="2882"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2BE68DD9"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Strong deposit growth would correlate to higher GHS deposit rate</w:t>
            </w:r>
          </w:p>
        </w:tc>
      </w:tr>
      <w:tr w:rsidR="00B74E15" w:rsidRPr="008445A3" w14:paraId="4C79171E" w14:textId="77777777" w:rsidTr="00B74E15">
        <w:trPr>
          <w:trHeight w:val="267"/>
        </w:trPr>
        <w:tc>
          <w:tcPr>
            <w:tcW w:w="1238"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17A233EF" w14:textId="77777777" w:rsidR="00B74E15" w:rsidRDefault="00B74E15" w:rsidP="00B74E15">
            <w:pPr>
              <w:spacing w:line="240" w:lineRule="auto"/>
              <w:jc w:val="lef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Funding cost on USD deposits</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44AF2394"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1.5%</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0DF4B0BF"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1.5%</w:t>
            </w:r>
          </w:p>
        </w:tc>
        <w:tc>
          <w:tcPr>
            <w:tcW w:w="293" w:type="pct"/>
            <w:tcBorders>
              <w:top w:val="single" w:sz="4" w:space="0" w:color="000000"/>
              <w:left w:val="single" w:sz="4" w:space="0" w:color="000000"/>
              <w:bottom w:val="single" w:sz="4" w:space="0" w:color="000000"/>
              <w:right w:val="single" w:sz="4" w:space="0" w:color="000000"/>
            </w:tcBorders>
            <w:shd w:val="clear" w:color="auto" w:fill="auto"/>
            <w:tcMar>
              <w:top w:w="15" w:type="dxa"/>
              <w:left w:w="57" w:type="dxa"/>
              <w:bottom w:w="0" w:type="dxa"/>
              <w:right w:w="57" w:type="dxa"/>
            </w:tcMar>
            <w:vAlign w:val="center"/>
          </w:tcPr>
          <w:p w14:paraId="7F2D49E7" w14:textId="77777777" w:rsidR="00B74E15" w:rsidRPr="008445A3" w:rsidRDefault="00B74E15" w:rsidP="00B74E15">
            <w:pPr>
              <w:spacing w:line="240" w:lineRule="auto"/>
              <w:jc w:val="right"/>
              <w:textAlignment w:val="center"/>
              <w:rPr>
                <w:rFonts w:eastAsia="Times New Roman" w:cs="Arial"/>
                <w:color w:val="000000" w:themeColor="text1"/>
                <w:kern w:val="24"/>
                <w:sz w:val="16"/>
                <w:szCs w:val="16"/>
                <w:lang w:eastAsia="en-GB"/>
              </w:rPr>
            </w:pPr>
            <w:r>
              <w:rPr>
                <w:rFonts w:eastAsia="Times New Roman" w:cs="Arial"/>
                <w:color w:val="000000" w:themeColor="text1"/>
                <w:kern w:val="24"/>
                <w:sz w:val="16"/>
                <w:szCs w:val="16"/>
                <w:lang w:eastAsia="en-GB"/>
              </w:rPr>
              <w:t>1.5%</w:t>
            </w:r>
          </w:p>
        </w:tc>
        <w:tc>
          <w:tcPr>
            <w:tcW w:w="2882" w:type="pct"/>
            <w:tcBorders>
              <w:top w:val="single" w:sz="4" w:space="0" w:color="000000"/>
              <w:left w:val="single" w:sz="4" w:space="0" w:color="000000"/>
              <w:bottom w:val="single" w:sz="4" w:space="0" w:color="000000"/>
              <w:right w:val="single" w:sz="4" w:space="0" w:color="000000"/>
            </w:tcBorders>
            <w:shd w:val="clear" w:color="auto" w:fill="auto"/>
            <w:tcMar>
              <w:top w:w="12" w:type="dxa"/>
              <w:left w:w="106" w:type="dxa"/>
              <w:bottom w:w="0" w:type="dxa"/>
              <w:right w:w="12" w:type="dxa"/>
            </w:tcMar>
            <w:vAlign w:val="center"/>
          </w:tcPr>
          <w:p w14:paraId="07791DCE" w14:textId="77777777" w:rsidR="00B74E15" w:rsidRPr="008445A3" w:rsidRDefault="00B74E15" w:rsidP="00B74E15">
            <w:pPr>
              <w:spacing w:line="240" w:lineRule="auto"/>
              <w:jc w:val="left"/>
              <w:textAlignment w:val="center"/>
              <w:rPr>
                <w:rFonts w:eastAsia="Times New Roman" w:cs="Arial"/>
                <w:color w:val="000000" w:themeColor="text1"/>
                <w:kern w:val="24"/>
                <w:sz w:val="16"/>
                <w:szCs w:val="16"/>
                <w:lang w:val="en-US" w:eastAsia="en-GB"/>
              </w:rPr>
            </w:pPr>
            <w:r>
              <w:rPr>
                <w:rFonts w:eastAsia="Times New Roman" w:cs="Arial"/>
                <w:color w:val="000000" w:themeColor="text1"/>
                <w:kern w:val="24"/>
                <w:sz w:val="16"/>
                <w:szCs w:val="16"/>
                <w:lang w:val="en-US" w:eastAsia="en-GB"/>
              </w:rPr>
              <w:t>Strong deposit growth would correlate to higher USD deposit rate</w:t>
            </w:r>
          </w:p>
        </w:tc>
      </w:tr>
    </w:tbl>
    <w:p w14:paraId="5C78A4FA" w14:textId="77777777" w:rsidR="00B74E15" w:rsidRDefault="00B74E15"/>
    <w:p w14:paraId="1B5DE4D0" w14:textId="37514C75" w:rsidR="00BF546F" w:rsidRDefault="00B74E15">
      <w:r>
        <w:t xml:space="preserve">By applying the above assumptions, the combined entity would achieve </w:t>
      </w:r>
      <w:r w:rsidR="00CB39DF">
        <w:t>a</w:t>
      </w:r>
      <w:r>
        <w:t xml:space="preserve"> ROE of 15.3% by 2021.</w:t>
      </w:r>
    </w:p>
    <w:p w14:paraId="7C1FB8CE" w14:textId="77777777" w:rsidR="00F05A4B" w:rsidRDefault="001B7FBA" w:rsidP="001B7FBA">
      <w:pPr>
        <w:pStyle w:val="Heading1"/>
        <w:numPr>
          <w:ilvl w:val="0"/>
          <w:numId w:val="3"/>
        </w:numPr>
      </w:pPr>
      <w:bookmarkStart w:id="12" w:name="_Toc13482371"/>
      <w:bookmarkStart w:id="13" w:name="_Toc13482372"/>
      <w:bookmarkStart w:id="14" w:name="_Toc13482373"/>
      <w:bookmarkStart w:id="15" w:name="_Toc13482374"/>
      <w:bookmarkStart w:id="16" w:name="_Toc13482375"/>
      <w:bookmarkStart w:id="17" w:name="_Toc13482376"/>
      <w:bookmarkStart w:id="18" w:name="_Toc13482377"/>
      <w:bookmarkStart w:id="19" w:name="_Toc13482378"/>
      <w:bookmarkStart w:id="20" w:name="_Toc13482379"/>
      <w:bookmarkStart w:id="21" w:name="_Toc13482380"/>
      <w:bookmarkStart w:id="22" w:name="_Toc13482381"/>
      <w:bookmarkStart w:id="23" w:name="_Toc13482382"/>
      <w:bookmarkStart w:id="24" w:name="_Toc13482383"/>
      <w:bookmarkStart w:id="25" w:name="_Toc13481934"/>
      <w:bookmarkStart w:id="26" w:name="_Toc13482384"/>
      <w:bookmarkStart w:id="27" w:name="_Toc13481935"/>
      <w:bookmarkStart w:id="28" w:name="_Toc13482385"/>
      <w:bookmarkStart w:id="29" w:name="_Toc13481936"/>
      <w:bookmarkStart w:id="30" w:name="_Toc13482386"/>
      <w:bookmarkStart w:id="31" w:name="_Toc13482388"/>
      <w:bookmarkStart w:id="32" w:name="_Toc13482389"/>
      <w:bookmarkStart w:id="33" w:name="_Toc13482390"/>
      <w:bookmarkStart w:id="34" w:name="_Toc13482391"/>
      <w:bookmarkStart w:id="35" w:name="_Toc13482392"/>
      <w:bookmarkStart w:id="36" w:name="_Toc13482393"/>
      <w:bookmarkStart w:id="37" w:name="_Toc13482394"/>
      <w:bookmarkStart w:id="38" w:name="_Toc13482395"/>
      <w:bookmarkStart w:id="39" w:name="_Toc13482396"/>
      <w:bookmarkStart w:id="40" w:name="_Toc13482397"/>
      <w:bookmarkStart w:id="41" w:name="_Toc13482398"/>
      <w:bookmarkStart w:id="42" w:name="_Toc13482399"/>
      <w:bookmarkStart w:id="43" w:name="_Toc13482400"/>
      <w:bookmarkStart w:id="44" w:name="_Toc13482401"/>
      <w:bookmarkStart w:id="45" w:name="_Toc13482402"/>
      <w:bookmarkStart w:id="46" w:name="_Toc13482403"/>
      <w:bookmarkStart w:id="47" w:name="_Toc13482404"/>
      <w:bookmarkStart w:id="48" w:name="_Toc13482405"/>
      <w:bookmarkStart w:id="49" w:name="_Toc13482406"/>
      <w:bookmarkStart w:id="50" w:name="_Toc13482407"/>
      <w:bookmarkStart w:id="51" w:name="_Toc13482408"/>
      <w:bookmarkStart w:id="52" w:name="_Toc13482409"/>
      <w:bookmarkStart w:id="53" w:name="_Toc13482410"/>
      <w:bookmarkStart w:id="54" w:name="_Toc13482411"/>
      <w:bookmarkStart w:id="55" w:name="_Toc13482412"/>
      <w:bookmarkStart w:id="56" w:name="_Toc13482413"/>
      <w:bookmarkStart w:id="57" w:name="_Toc13482414"/>
      <w:bookmarkStart w:id="58" w:name="_Toc13482415"/>
      <w:bookmarkStart w:id="59" w:name="_Toc13482416"/>
      <w:bookmarkStart w:id="60" w:name="_Toc13482417"/>
      <w:bookmarkStart w:id="61" w:name="_Toc13482418"/>
      <w:bookmarkStart w:id="62" w:name="_Toc13482419"/>
      <w:bookmarkStart w:id="63" w:name="_Toc13482420"/>
      <w:bookmarkStart w:id="64" w:name="_Toc13482421"/>
      <w:bookmarkStart w:id="65" w:name="_Toc13482422"/>
      <w:bookmarkStart w:id="66" w:name="_Toc13482423"/>
      <w:bookmarkStart w:id="67" w:name="_Toc13482424"/>
      <w:bookmarkStart w:id="68" w:name="_Toc13482425"/>
      <w:bookmarkStart w:id="69" w:name="_Toc13482426"/>
      <w:bookmarkStart w:id="70" w:name="_Toc13482427"/>
      <w:bookmarkStart w:id="71" w:name="_Toc13482428"/>
      <w:bookmarkStart w:id="72" w:name="_Toc13482429"/>
      <w:bookmarkStart w:id="73" w:name="_Toc13482430"/>
      <w:bookmarkStart w:id="74" w:name="_Toc13482431"/>
      <w:bookmarkStart w:id="75" w:name="_Toc13482432"/>
      <w:bookmarkStart w:id="76" w:name="_Toc13482433"/>
      <w:bookmarkStart w:id="77" w:name="_Toc13482434"/>
      <w:bookmarkStart w:id="78" w:name="_Toc13482435"/>
      <w:bookmarkStart w:id="79" w:name="_Toc13482436"/>
      <w:bookmarkStart w:id="80" w:name="_Toc13482437"/>
      <w:bookmarkStart w:id="81" w:name="_Toc13482438"/>
      <w:bookmarkStart w:id="82" w:name="_Toc13482439"/>
      <w:bookmarkStart w:id="83" w:name="_Toc13482440"/>
      <w:bookmarkStart w:id="84" w:name="_Toc13482441"/>
      <w:bookmarkStart w:id="85" w:name="_Toc13482442"/>
      <w:bookmarkStart w:id="86" w:name="_Toc13482443"/>
      <w:bookmarkStart w:id="87" w:name="_Toc13482444"/>
      <w:bookmarkStart w:id="88" w:name="_Toc13482445"/>
      <w:bookmarkStart w:id="89" w:name="_Toc13482446"/>
      <w:bookmarkStart w:id="90" w:name="_Toc13482447"/>
      <w:bookmarkStart w:id="91" w:name="_Toc13482448"/>
      <w:bookmarkStart w:id="92" w:name="_Toc13482449"/>
      <w:bookmarkStart w:id="93" w:name="_Toc1408520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CONCLUSION</w:t>
      </w:r>
      <w:bookmarkEnd w:id="93"/>
    </w:p>
    <w:p w14:paraId="6801AE58" w14:textId="77777777" w:rsidR="00F05A4B" w:rsidRDefault="00D36801">
      <w:r>
        <w:rPr>
          <w:rFonts w:eastAsia="Times New Roman" w:cs="Arial"/>
          <w:szCs w:val="20"/>
        </w:rPr>
        <w:t>FirstRand believe that</w:t>
      </w:r>
      <w:r w:rsidRPr="00A832F8">
        <w:rPr>
          <w:rFonts w:eastAsia="Times New Roman" w:cs="Arial"/>
          <w:szCs w:val="20"/>
        </w:rPr>
        <w:t xml:space="preserve"> the proposed acquisition of GHL Bank by </w:t>
      </w:r>
      <w:r>
        <w:rPr>
          <w:rFonts w:eastAsia="Times New Roman" w:cs="Arial"/>
          <w:szCs w:val="20"/>
        </w:rPr>
        <w:t>FNB Ghana</w:t>
      </w:r>
      <w:r w:rsidRPr="00A832F8">
        <w:rPr>
          <w:rFonts w:eastAsia="Times New Roman" w:cs="Arial"/>
          <w:szCs w:val="20"/>
        </w:rPr>
        <w:t xml:space="preserve"> and the proposed merger between FNB Ghana and GHL Bank will result in FNB Ghana acquiring a skilled and experienced management team, which, in turn, will further strengthen its </w:t>
      </w:r>
      <w:r>
        <w:rPr>
          <w:rFonts w:eastAsia="Times New Roman" w:cs="Arial"/>
          <w:szCs w:val="20"/>
        </w:rPr>
        <w:t>CCIB</w:t>
      </w:r>
      <w:r w:rsidRPr="00A832F8">
        <w:rPr>
          <w:rFonts w:eastAsia="Times New Roman" w:cs="Arial"/>
          <w:szCs w:val="20"/>
        </w:rPr>
        <w:t xml:space="preserve">, retail and mortgage banking capabilities. In addition, the </w:t>
      </w:r>
      <w:r w:rsidRPr="00A832F8">
        <w:rPr>
          <w:rFonts w:eastAsia="Times New Roman" w:cs="Arial"/>
          <w:szCs w:val="20"/>
        </w:rPr>
        <w:lastRenderedPageBreak/>
        <w:t xml:space="preserve">proposed acquisition will also enable expansion and diversification of business activities and product offerings, in a responsible manner, to the benefit of clients in Ghana and in areas where our existing operations </w:t>
      </w:r>
      <w:r>
        <w:rPr>
          <w:rFonts w:eastAsia="Times New Roman" w:cs="Arial"/>
          <w:szCs w:val="20"/>
        </w:rPr>
        <w:t xml:space="preserve">in Ghana </w:t>
      </w:r>
      <w:r w:rsidRPr="00A832F8">
        <w:rPr>
          <w:rFonts w:eastAsia="Times New Roman" w:cs="Arial"/>
          <w:szCs w:val="20"/>
        </w:rPr>
        <w:t>are currently either not represented at all or not sufficiently represented</w:t>
      </w:r>
      <w:r>
        <w:rPr>
          <w:rFonts w:eastAsia="Times New Roman" w:cs="Arial"/>
          <w:szCs w:val="20"/>
        </w:rPr>
        <w:t>.</w:t>
      </w:r>
    </w:p>
    <w:sectPr w:rsidR="00F05A4B">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134" w:header="709"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92CEB" w14:textId="77777777" w:rsidR="00307138" w:rsidRDefault="00307138">
      <w:pPr>
        <w:spacing w:line="240" w:lineRule="auto"/>
      </w:pPr>
      <w:r>
        <w:separator/>
      </w:r>
    </w:p>
  </w:endnote>
  <w:endnote w:type="continuationSeparator" w:id="0">
    <w:p w14:paraId="7803D75A" w14:textId="77777777" w:rsidR="00307138" w:rsidRDefault="00307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22AF8" w14:textId="77777777" w:rsidR="00B276E8" w:rsidRDefault="00B27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9638"/>
    </w:tblGrid>
    <w:sdt>
      <w:sdtPr>
        <w:rPr>
          <w:sz w:val="16"/>
          <w:szCs w:val="16"/>
        </w:rPr>
        <w:id w:val="-1193223587"/>
        <w:docPartObj>
          <w:docPartGallery w:val="Page Numbers (Bottom of Page)"/>
          <w:docPartUnique/>
        </w:docPartObj>
      </w:sdtPr>
      <w:sdtEndPr/>
      <w:sdtContent>
        <w:sdt>
          <w:sdtPr>
            <w:rPr>
              <w:sz w:val="16"/>
              <w:szCs w:val="16"/>
            </w:rPr>
            <w:id w:val="-2112415237"/>
            <w:docPartObj>
              <w:docPartGallery w:val="Page Numbers (Top of Page)"/>
              <w:docPartUnique/>
            </w:docPartObj>
          </w:sdtPr>
          <w:sdtEndPr/>
          <w:sdtContent>
            <w:tr w:rsidR="00B276E8" w14:paraId="14D6BB16" w14:textId="77777777">
              <w:tc>
                <w:tcPr>
                  <w:tcW w:w="9854" w:type="dxa"/>
                  <w:tcBorders>
                    <w:top w:val="nil"/>
                    <w:left w:val="nil"/>
                    <w:bottom w:val="nil"/>
                    <w:right w:val="nil"/>
                  </w:tcBorders>
                </w:tcPr>
                <w:p w14:paraId="50743309" w14:textId="77777777" w:rsidR="00B276E8" w:rsidRDefault="00B276E8">
                  <w:pPr>
                    <w:pStyle w:val="Footer"/>
                    <w:jc w:val="center"/>
                    <w:rPr>
                      <w:sz w:val="16"/>
                      <w:szCs w:val="16"/>
                    </w:rPr>
                  </w:pPr>
                  <w:r>
                    <w:rPr>
                      <w:sz w:val="16"/>
                      <w:szCs w:val="16"/>
                    </w:rPr>
                    <w:t xml:space="preserve">Page </w:t>
                  </w:r>
                  <w:r>
                    <w:rPr>
                      <w:bCs/>
                      <w:sz w:val="16"/>
                      <w:szCs w:val="16"/>
                    </w:rPr>
                    <w:fldChar w:fldCharType="begin"/>
                  </w:r>
                  <w:r>
                    <w:rPr>
                      <w:bCs/>
                      <w:sz w:val="16"/>
                      <w:szCs w:val="16"/>
                    </w:rPr>
                    <w:instrText xml:space="preserve"> PAGE </w:instrText>
                  </w:r>
                  <w:r>
                    <w:rPr>
                      <w:bCs/>
                      <w:sz w:val="16"/>
                      <w:szCs w:val="16"/>
                    </w:rPr>
                    <w:fldChar w:fldCharType="separate"/>
                  </w:r>
                  <w:r>
                    <w:rPr>
                      <w:bCs/>
                      <w:noProof/>
                      <w:sz w:val="16"/>
                      <w:szCs w:val="16"/>
                    </w:rPr>
                    <w:t>14</w:t>
                  </w:r>
                  <w:r>
                    <w:rPr>
                      <w:bCs/>
                      <w:sz w:val="16"/>
                      <w:szCs w:val="16"/>
                    </w:rPr>
                    <w:fldChar w:fldCharType="end"/>
                  </w:r>
                </w:p>
              </w:tc>
            </w:tr>
          </w:sdtContent>
        </w:sdt>
      </w:sdtContent>
    </w:sdt>
  </w:tbl>
  <w:p w14:paraId="0CD3F42A" w14:textId="77777777" w:rsidR="00B276E8" w:rsidRDefault="00B276E8">
    <w:pPr>
      <w:jc w:val="right"/>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19" w:type="dxa"/>
      <w:tblLook w:val="04A0" w:firstRow="1" w:lastRow="0" w:firstColumn="1" w:lastColumn="0" w:noHBand="0" w:noVBand="1"/>
    </w:tblPr>
    <w:tblGrid>
      <w:gridCol w:w="9919"/>
    </w:tblGrid>
    <w:tr w:rsidR="00B276E8" w14:paraId="1A06C8C2" w14:textId="77777777">
      <w:trPr>
        <w:trHeight w:val="715"/>
      </w:trPr>
      <w:tc>
        <w:tcPr>
          <w:tcW w:w="9919" w:type="dxa"/>
          <w:tcBorders>
            <w:top w:val="nil"/>
            <w:left w:val="nil"/>
            <w:bottom w:val="nil"/>
            <w:right w:val="nil"/>
          </w:tcBorders>
          <w:vAlign w:val="bottom"/>
        </w:tcPr>
        <w:p w14:paraId="4D679688" w14:textId="77777777" w:rsidR="00B276E8" w:rsidRDefault="00B276E8">
          <w:pPr>
            <w:pStyle w:val="Footer"/>
            <w:jc w:val="center"/>
          </w:pPr>
          <w:r>
            <w:rPr>
              <w:sz w:val="24"/>
            </w:rPr>
            <w:t>[PRIVATE AND CONFIDENTIAL]</w:t>
          </w:r>
        </w:p>
      </w:tc>
    </w:tr>
  </w:tbl>
  <w:p w14:paraId="11507CCB" w14:textId="77777777" w:rsidR="00B276E8" w:rsidRDefault="00B276E8">
    <w:pPr>
      <w:pStyle w:val="Footer"/>
    </w:pPr>
  </w:p>
  <w:p w14:paraId="57D021B4" w14:textId="77777777" w:rsidR="00B276E8" w:rsidRDefault="00B27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8B236" w14:textId="77777777" w:rsidR="00307138" w:rsidRDefault="00307138">
      <w:pPr>
        <w:spacing w:line="240" w:lineRule="auto"/>
      </w:pPr>
      <w:r>
        <w:separator/>
      </w:r>
    </w:p>
  </w:footnote>
  <w:footnote w:type="continuationSeparator" w:id="0">
    <w:p w14:paraId="1053D4BF" w14:textId="77777777" w:rsidR="00307138" w:rsidRDefault="00307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CD4C" w14:textId="77777777" w:rsidR="00B276E8" w:rsidRDefault="00426A22">
    <w:pPr>
      <w:pStyle w:val="Header"/>
    </w:pPr>
    <w:r>
      <w:rPr>
        <w:noProof/>
      </w:rPr>
      <w:pict w14:anchorId="5821D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78011" o:spid="_x0000_s6147" type="#_x0000_t136" alt="" style="position:absolute;left:0;text-align:left;margin-left:0;margin-top:0;width:485.3pt;height:194.1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618E2" w14:textId="77777777" w:rsidR="00B276E8" w:rsidRDefault="00426A22">
    <w:pPr>
      <w:jc w:val="left"/>
      <w:rPr>
        <w:lang w:val="en-ZA"/>
      </w:rPr>
    </w:pPr>
    <w:r>
      <w:rPr>
        <w:noProof/>
      </w:rPr>
      <w:pict w14:anchorId="77D4A3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78012" o:spid="_x0000_s6146" type="#_x0000_t136" alt="" style="position:absolute;margin-left:0;margin-top:0;width:485.3pt;height:194.1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B276E8">
      <w:rPr>
        <w:noProof/>
        <w:lang w:val="en-US"/>
      </w:rPr>
      <w:drawing>
        <wp:anchor distT="0" distB="0" distL="114300" distR="114300" simplePos="0" relativeHeight="251661312" behindDoc="1" locked="0" layoutInCell="1" allowOverlap="1" wp14:anchorId="4C1386FF" wp14:editId="242ECAB1">
          <wp:simplePos x="0" y="0"/>
          <wp:positionH relativeFrom="page">
            <wp:align>left</wp:align>
          </wp:positionH>
          <wp:positionV relativeFrom="page">
            <wp:align>top</wp:align>
          </wp:positionV>
          <wp:extent cx="7539685" cy="1339403"/>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Rand formal Word document-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7146" cy="1346058"/>
                  </a:xfrm>
                  <a:prstGeom prst="rect">
                    <a:avLst/>
                  </a:prstGeom>
                </pic:spPr>
              </pic:pic>
            </a:graphicData>
          </a:graphic>
          <wp14:sizeRelH relativeFrom="page">
            <wp14:pctWidth>0</wp14:pctWidth>
          </wp14:sizeRelH>
          <wp14:sizeRelV relativeFrom="page">
            <wp14:pctHeight>0</wp14:pctHeight>
          </wp14:sizeRelV>
        </wp:anchor>
      </w:drawing>
    </w:r>
  </w:p>
  <w:p w14:paraId="55A56F6A" w14:textId="77777777" w:rsidR="00B276E8" w:rsidRDefault="00B276E8">
    <w:pPr>
      <w:jc w:val="left"/>
      <w:rPr>
        <w:lang w:val="en-ZA"/>
      </w:rPr>
    </w:pPr>
  </w:p>
  <w:tbl>
    <w:tblPr>
      <w:tblW w:w="0" w:type="auto"/>
      <w:tblLook w:val="04A0" w:firstRow="1" w:lastRow="0" w:firstColumn="1" w:lastColumn="0" w:noHBand="0" w:noVBand="1"/>
    </w:tblPr>
    <w:tblGrid>
      <w:gridCol w:w="7196"/>
    </w:tblGrid>
    <w:tr w:rsidR="00B276E8" w14:paraId="6E4078DC" w14:textId="77777777">
      <w:tc>
        <w:tcPr>
          <w:tcW w:w="7196" w:type="dxa"/>
          <w:tcBorders>
            <w:top w:val="nil"/>
            <w:left w:val="nil"/>
            <w:bottom w:val="nil"/>
            <w:right w:val="nil"/>
          </w:tcBorders>
        </w:tcPr>
        <w:p w14:paraId="46B02321" w14:textId="77777777" w:rsidR="00B276E8" w:rsidRDefault="00B276E8">
          <w:pPr>
            <w:jc w:val="left"/>
            <w:rPr>
              <w:b/>
              <w:lang w:val="en-ZA"/>
            </w:rPr>
          </w:pPr>
        </w:p>
      </w:tc>
    </w:tr>
  </w:tbl>
  <w:p w14:paraId="3A6981E3" w14:textId="77777777" w:rsidR="00B276E8" w:rsidRDefault="00B276E8">
    <w:pPr>
      <w:jc w:val="left"/>
      <w:rPr>
        <w:lang w:val="en-ZA"/>
      </w:rPr>
    </w:pPr>
  </w:p>
  <w:p w14:paraId="7CA8C5F1" w14:textId="77777777" w:rsidR="00B276E8" w:rsidRDefault="00B276E8">
    <w:pPr>
      <w:jc w:val="left"/>
      <w:rPr>
        <w:lang w:val="en-ZA"/>
      </w:rPr>
    </w:pPr>
  </w:p>
  <w:p w14:paraId="71BE9EA4" w14:textId="77777777" w:rsidR="00B276E8" w:rsidRDefault="00B276E8">
    <w:pPr>
      <w:jc w:val="left"/>
      <w:rPr>
        <w:lang w:val="en-ZA"/>
      </w:rPr>
    </w:pPr>
  </w:p>
  <w:p w14:paraId="38D8EF97" w14:textId="77777777" w:rsidR="00B276E8" w:rsidRDefault="00B276E8">
    <w:pPr>
      <w:jc w:val="left"/>
      <w:rPr>
        <w:lang w:val="en-ZA"/>
      </w:rPr>
    </w:pPr>
  </w:p>
  <w:p w14:paraId="756C50FD" w14:textId="77777777" w:rsidR="00B276E8" w:rsidRDefault="00B276E8">
    <w:pPr>
      <w:jc w:val="left"/>
      <w:rPr>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8D0C8" w14:textId="77777777" w:rsidR="00B276E8" w:rsidRDefault="00426A22">
    <w:pPr>
      <w:pStyle w:val="Header"/>
      <w:tabs>
        <w:tab w:val="clear" w:pos="4513"/>
        <w:tab w:val="clear" w:pos="9026"/>
        <w:tab w:val="left" w:pos="1095"/>
      </w:tabs>
    </w:pPr>
    <w:r>
      <w:rPr>
        <w:noProof/>
      </w:rPr>
      <w:pict w14:anchorId="3222A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78010" o:spid="_x0000_s6145" type="#_x0000_t136" alt="" style="position:absolute;left:0;text-align:left;margin-left:0;margin-top:0;width:485.3pt;height:194.1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tbl>
    <w:tblPr>
      <w:tblW w:w="9889" w:type="dxa"/>
      <w:tblLook w:val="04A0" w:firstRow="1" w:lastRow="0" w:firstColumn="1" w:lastColumn="0" w:noHBand="0" w:noVBand="1"/>
    </w:tblPr>
    <w:tblGrid>
      <w:gridCol w:w="9889"/>
    </w:tblGrid>
    <w:tr w:rsidR="00B276E8" w14:paraId="7BD03873" w14:textId="77777777">
      <w:trPr>
        <w:trHeight w:val="4309"/>
      </w:trPr>
      <w:tc>
        <w:tcPr>
          <w:tcW w:w="9889" w:type="dxa"/>
        </w:tcPr>
        <w:p w14:paraId="502E735A" w14:textId="77777777" w:rsidR="00B276E8" w:rsidRDefault="00B276E8">
          <w:pPr>
            <w:jc w:val="center"/>
            <w:rPr>
              <w:b/>
              <w:sz w:val="36"/>
            </w:rPr>
          </w:pPr>
        </w:p>
        <w:p w14:paraId="210C36B6" w14:textId="77777777" w:rsidR="00B276E8" w:rsidRDefault="00B276E8">
          <w:pPr>
            <w:jc w:val="center"/>
            <w:rPr>
              <w:b/>
              <w:sz w:val="36"/>
            </w:rPr>
          </w:pPr>
        </w:p>
        <w:p w14:paraId="6C9BB6FC" w14:textId="77777777" w:rsidR="00B276E8" w:rsidRDefault="00B276E8">
          <w:pPr>
            <w:jc w:val="center"/>
            <w:rPr>
              <w:b/>
              <w:sz w:val="36"/>
            </w:rPr>
          </w:pPr>
        </w:p>
        <w:p w14:paraId="2CC7DDB4" w14:textId="77777777" w:rsidR="00B276E8" w:rsidRDefault="00B276E8">
          <w:pPr>
            <w:jc w:val="center"/>
            <w:rPr>
              <w:b/>
              <w:sz w:val="36"/>
            </w:rPr>
          </w:pPr>
        </w:p>
        <w:p w14:paraId="0A911B7C" w14:textId="77777777" w:rsidR="00B276E8" w:rsidRDefault="00B276E8">
          <w:pPr>
            <w:jc w:val="center"/>
            <w:rPr>
              <w:b/>
              <w:sz w:val="36"/>
            </w:rPr>
          </w:pPr>
        </w:p>
        <w:p w14:paraId="7BD81665" w14:textId="77777777" w:rsidR="00B276E8" w:rsidRDefault="00B276E8">
          <w:pPr>
            <w:tabs>
              <w:tab w:val="left" w:pos="4185"/>
            </w:tabs>
            <w:rPr>
              <w:b/>
              <w:sz w:val="36"/>
            </w:rPr>
          </w:pPr>
          <w:r>
            <w:rPr>
              <w:b/>
              <w:sz w:val="36"/>
            </w:rPr>
            <w:tab/>
          </w:r>
        </w:p>
        <w:p w14:paraId="2BE0234B" w14:textId="77777777" w:rsidR="00B276E8" w:rsidRDefault="00B276E8">
          <w:pPr>
            <w:jc w:val="center"/>
            <w:rPr>
              <w:b/>
              <w:sz w:val="36"/>
            </w:rPr>
          </w:pPr>
          <w:r>
            <w:rPr>
              <w:noProof/>
              <w:lang w:val="en-US"/>
            </w:rPr>
            <w:drawing>
              <wp:anchor distT="0" distB="0" distL="114300" distR="114300" simplePos="0" relativeHeight="251660288" behindDoc="1" locked="0" layoutInCell="1" allowOverlap="1" wp14:anchorId="600B5508" wp14:editId="2DCA0786">
                <wp:simplePos x="0" y="0"/>
                <wp:positionH relativeFrom="page">
                  <wp:posOffset>-720725</wp:posOffset>
                </wp:positionH>
                <wp:positionV relativeFrom="page">
                  <wp:posOffset>-593090</wp:posOffset>
                </wp:positionV>
                <wp:extent cx="7567930" cy="10702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Rand formal Word document-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930" cy="10702290"/>
                        </a:xfrm>
                        <a:prstGeom prst="rect">
                          <a:avLst/>
                        </a:prstGeom>
                      </pic:spPr>
                    </pic:pic>
                  </a:graphicData>
                </a:graphic>
                <wp14:sizeRelH relativeFrom="page">
                  <wp14:pctWidth>0</wp14:pctWidth>
                </wp14:sizeRelH>
                <wp14:sizeRelV relativeFrom="page">
                  <wp14:pctHeight>0</wp14:pctHeight>
                </wp14:sizeRelV>
              </wp:anchor>
            </w:drawing>
          </w:r>
          <w:r>
            <w:rPr>
              <w:b/>
              <w:sz w:val="36"/>
            </w:rPr>
            <w:t>PROJECT UP</w:t>
          </w:r>
        </w:p>
        <w:p w14:paraId="50B6BECD" w14:textId="77777777" w:rsidR="00B276E8" w:rsidRDefault="00B276E8">
          <w:pPr>
            <w:jc w:val="center"/>
            <w:rPr>
              <w:sz w:val="32"/>
            </w:rPr>
          </w:pPr>
          <w:r>
            <w:t xml:space="preserve"> </w:t>
          </w:r>
          <w:r>
            <w:rPr>
              <w:sz w:val="32"/>
            </w:rPr>
            <w:t>Combined Business Plan</w:t>
          </w:r>
        </w:p>
        <w:p w14:paraId="0DC28E0D" w14:textId="77777777" w:rsidR="00B276E8" w:rsidRDefault="00B276E8">
          <w:pPr>
            <w:jc w:val="center"/>
          </w:pPr>
          <w:r>
            <w:rPr>
              <w:sz w:val="32"/>
            </w:rPr>
            <w:t>First National Bank Ghana and GHL Bank</w:t>
          </w:r>
        </w:p>
      </w:tc>
    </w:tr>
  </w:tbl>
  <w:p w14:paraId="7E1288A9" w14:textId="77777777" w:rsidR="00B276E8" w:rsidRDefault="00B276E8">
    <w:pPr>
      <w:pStyle w:val="Header"/>
      <w:tabs>
        <w:tab w:val="clear" w:pos="4513"/>
        <w:tab w:val="clear" w:pos="9026"/>
        <w:tab w:val="left" w:pos="10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64F2"/>
    <w:multiLevelType w:val="hybridMultilevel"/>
    <w:tmpl w:val="BDEA5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739C8"/>
    <w:multiLevelType w:val="hybridMultilevel"/>
    <w:tmpl w:val="8A0EC75C"/>
    <w:lvl w:ilvl="0" w:tplc="1C090001">
      <w:start w:val="1"/>
      <w:numFmt w:val="bullet"/>
      <w:lvlText w:val=""/>
      <w:lvlJc w:val="left"/>
      <w:pPr>
        <w:ind w:left="1429" w:hanging="360"/>
      </w:pPr>
      <w:rPr>
        <w:rFonts w:ascii="Symbol" w:hAnsi="Symbol" w:hint="default"/>
      </w:rPr>
    </w:lvl>
    <w:lvl w:ilvl="1" w:tplc="1C090003">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 w15:restartNumberingAfterBreak="0">
    <w:nsid w:val="119C4F6F"/>
    <w:multiLevelType w:val="hybridMultilevel"/>
    <w:tmpl w:val="1C0AF804"/>
    <w:lvl w:ilvl="0" w:tplc="8EDC15B2">
      <w:start w:val="1"/>
      <w:numFmt w:val="lowerLetter"/>
      <w:lvlText w:val="(%1)"/>
      <w:lvlJc w:val="left"/>
      <w:pPr>
        <w:ind w:left="2760" w:hanging="360"/>
      </w:pPr>
    </w:lvl>
    <w:lvl w:ilvl="1" w:tplc="08090019">
      <w:start w:val="1"/>
      <w:numFmt w:val="lowerLetter"/>
      <w:lvlText w:val="%2."/>
      <w:lvlJc w:val="left"/>
      <w:pPr>
        <w:ind w:left="3480" w:hanging="360"/>
      </w:pPr>
    </w:lvl>
    <w:lvl w:ilvl="2" w:tplc="0809001B">
      <w:start w:val="1"/>
      <w:numFmt w:val="lowerRoman"/>
      <w:lvlText w:val="%3."/>
      <w:lvlJc w:val="right"/>
      <w:pPr>
        <w:ind w:left="4200" w:hanging="180"/>
      </w:pPr>
    </w:lvl>
    <w:lvl w:ilvl="3" w:tplc="0809000F">
      <w:start w:val="1"/>
      <w:numFmt w:val="decimal"/>
      <w:lvlText w:val="%4."/>
      <w:lvlJc w:val="left"/>
      <w:pPr>
        <w:ind w:left="4920" w:hanging="360"/>
      </w:pPr>
    </w:lvl>
    <w:lvl w:ilvl="4" w:tplc="08090019">
      <w:start w:val="1"/>
      <w:numFmt w:val="lowerLetter"/>
      <w:lvlText w:val="%5."/>
      <w:lvlJc w:val="left"/>
      <w:pPr>
        <w:ind w:left="5640" w:hanging="360"/>
      </w:pPr>
    </w:lvl>
    <w:lvl w:ilvl="5" w:tplc="0809001B">
      <w:start w:val="1"/>
      <w:numFmt w:val="lowerRoman"/>
      <w:lvlText w:val="%6."/>
      <w:lvlJc w:val="right"/>
      <w:pPr>
        <w:ind w:left="6360" w:hanging="180"/>
      </w:pPr>
    </w:lvl>
    <w:lvl w:ilvl="6" w:tplc="0809000F">
      <w:start w:val="1"/>
      <w:numFmt w:val="decimal"/>
      <w:lvlText w:val="%7."/>
      <w:lvlJc w:val="left"/>
      <w:pPr>
        <w:ind w:left="7080" w:hanging="360"/>
      </w:pPr>
    </w:lvl>
    <w:lvl w:ilvl="7" w:tplc="08090019">
      <w:start w:val="1"/>
      <w:numFmt w:val="lowerLetter"/>
      <w:lvlText w:val="%8."/>
      <w:lvlJc w:val="left"/>
      <w:pPr>
        <w:ind w:left="7800" w:hanging="360"/>
      </w:pPr>
    </w:lvl>
    <w:lvl w:ilvl="8" w:tplc="0809001B">
      <w:start w:val="1"/>
      <w:numFmt w:val="lowerRoman"/>
      <w:lvlText w:val="%9."/>
      <w:lvlJc w:val="right"/>
      <w:pPr>
        <w:ind w:left="8520" w:hanging="180"/>
      </w:pPr>
    </w:lvl>
  </w:abstractNum>
  <w:abstractNum w:abstractNumId="3" w15:restartNumberingAfterBreak="0">
    <w:nsid w:val="12770B1E"/>
    <w:multiLevelType w:val="hybridMultilevel"/>
    <w:tmpl w:val="4A60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63EF4"/>
    <w:multiLevelType w:val="hybridMultilevel"/>
    <w:tmpl w:val="B246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67175"/>
    <w:multiLevelType w:val="hybridMultilevel"/>
    <w:tmpl w:val="C324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4AEB"/>
    <w:multiLevelType w:val="hybridMultilevel"/>
    <w:tmpl w:val="C1EA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244237"/>
    <w:multiLevelType w:val="hybridMultilevel"/>
    <w:tmpl w:val="F27C3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21EAA"/>
    <w:multiLevelType w:val="hybridMultilevel"/>
    <w:tmpl w:val="1B7A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65637"/>
    <w:multiLevelType w:val="multilevel"/>
    <w:tmpl w:val="ABC8C0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2241202"/>
    <w:multiLevelType w:val="hybridMultilevel"/>
    <w:tmpl w:val="DE1EB992"/>
    <w:lvl w:ilvl="0" w:tplc="9EF0D35E">
      <w:start w:val="1"/>
      <w:numFmt w:val="bullet"/>
      <w:lvlText w:val=""/>
      <w:lvlJc w:val="left"/>
      <w:pPr>
        <w:tabs>
          <w:tab w:val="num" w:pos="360"/>
        </w:tabs>
        <w:ind w:left="360" w:hanging="360"/>
      </w:pPr>
      <w:rPr>
        <w:rFonts w:ascii="Symbol" w:hAnsi="Symbol" w:hint="default"/>
        <w:color w:val="auto"/>
      </w:rPr>
    </w:lvl>
    <w:lvl w:ilvl="1" w:tplc="CC206F1A">
      <w:start w:val="1"/>
      <w:numFmt w:val="bullet"/>
      <w:pStyle w:val="Bulletslevel2"/>
      <w:lvlText w:val="-"/>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161C8F"/>
    <w:multiLevelType w:val="hybridMultilevel"/>
    <w:tmpl w:val="475603C2"/>
    <w:lvl w:ilvl="0" w:tplc="9EF0D35E">
      <w:start w:val="1"/>
      <w:numFmt w:val="bullet"/>
      <w:pStyle w:val="Bulletslevel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27B9F"/>
    <w:multiLevelType w:val="hybridMultilevel"/>
    <w:tmpl w:val="1DE65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73140D"/>
    <w:multiLevelType w:val="hybridMultilevel"/>
    <w:tmpl w:val="FA98307C"/>
    <w:lvl w:ilvl="0" w:tplc="F6582724">
      <w:numFmt w:val="bullet"/>
      <w:lvlText w:val="•"/>
      <w:lvlJc w:val="left"/>
      <w:pPr>
        <w:ind w:left="1680" w:hanging="720"/>
      </w:pPr>
      <w:rPr>
        <w:rFonts w:ascii="Times New Roman" w:eastAsia="Times New Roman" w:hAnsi="Times New Roman" w:cs="Times New Roman" w:hint="default"/>
      </w:rPr>
    </w:lvl>
    <w:lvl w:ilvl="1" w:tplc="04090001">
      <w:start w:val="1"/>
      <w:numFmt w:val="bullet"/>
      <w:lvlText w:val=""/>
      <w:lvlJc w:val="left"/>
      <w:pPr>
        <w:ind w:left="2040" w:hanging="360"/>
      </w:pPr>
      <w:rPr>
        <w:rFonts w:ascii="Symbol" w:hAnsi="Symbol"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14" w15:restartNumberingAfterBreak="0">
    <w:nsid w:val="55CB25D4"/>
    <w:multiLevelType w:val="hybridMultilevel"/>
    <w:tmpl w:val="ED7E8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44752E"/>
    <w:multiLevelType w:val="hybridMultilevel"/>
    <w:tmpl w:val="631CA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8A6E9C"/>
    <w:multiLevelType w:val="hybridMultilevel"/>
    <w:tmpl w:val="689E0E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63CA2"/>
    <w:multiLevelType w:val="hybridMultilevel"/>
    <w:tmpl w:val="16D8B5B0"/>
    <w:lvl w:ilvl="0" w:tplc="8EDC15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F227CD"/>
    <w:multiLevelType w:val="hybridMultilevel"/>
    <w:tmpl w:val="0730F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99065B"/>
    <w:multiLevelType w:val="hybridMultilevel"/>
    <w:tmpl w:val="16D8B5B0"/>
    <w:lvl w:ilvl="0" w:tplc="8EDC15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C26283"/>
    <w:multiLevelType w:val="hybridMultilevel"/>
    <w:tmpl w:val="2118E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040C36"/>
    <w:multiLevelType w:val="hybridMultilevel"/>
    <w:tmpl w:val="6C14A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CE15B2"/>
    <w:multiLevelType w:val="hybridMultilevel"/>
    <w:tmpl w:val="64E054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10"/>
  </w:num>
  <w:num w:numId="3">
    <w:abstractNumId w:val="9"/>
  </w:num>
  <w:num w:numId="4">
    <w:abstractNumId w:val="5"/>
  </w:num>
  <w:num w:numId="5">
    <w:abstractNumId w:val="3"/>
  </w:num>
  <w:num w:numId="6">
    <w:abstractNumId w:val="1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9"/>
  </w:num>
  <w:num w:numId="10">
    <w:abstractNumId w:val="17"/>
  </w:num>
  <w:num w:numId="11">
    <w:abstractNumId w:val="15"/>
  </w:num>
  <w:num w:numId="12">
    <w:abstractNumId w:val="1"/>
  </w:num>
  <w:num w:numId="13">
    <w:abstractNumId w:val="22"/>
  </w:num>
  <w:num w:numId="14">
    <w:abstractNumId w:val="0"/>
  </w:num>
  <w:num w:numId="15">
    <w:abstractNumId w:val="4"/>
  </w:num>
  <w:num w:numId="16">
    <w:abstractNumId w:val="20"/>
  </w:num>
  <w:num w:numId="17">
    <w:abstractNumId w:val="21"/>
  </w:num>
  <w:num w:numId="18">
    <w:abstractNumId w:val="16"/>
  </w:num>
  <w:num w:numId="19">
    <w:abstractNumId w:val="8"/>
  </w:num>
  <w:num w:numId="20">
    <w:abstractNumId w:val="14"/>
  </w:num>
  <w:num w:numId="21">
    <w:abstractNumId w:val="6"/>
  </w:num>
  <w:num w:numId="22">
    <w:abstractNumId w:val="12"/>
  </w:num>
  <w:num w:numId="23">
    <w:abstractNumId w:val="18"/>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4B"/>
    <w:rsid w:val="00011647"/>
    <w:rsid w:val="00032921"/>
    <w:rsid w:val="0003635B"/>
    <w:rsid w:val="000363AB"/>
    <w:rsid w:val="00043323"/>
    <w:rsid w:val="00061917"/>
    <w:rsid w:val="00066D0E"/>
    <w:rsid w:val="00086119"/>
    <w:rsid w:val="000A02C9"/>
    <w:rsid w:val="000A476D"/>
    <w:rsid w:val="000A4D12"/>
    <w:rsid w:val="000A7F20"/>
    <w:rsid w:val="000B5FF6"/>
    <w:rsid w:val="000C5B31"/>
    <w:rsid w:val="000F5D58"/>
    <w:rsid w:val="000F6DB1"/>
    <w:rsid w:val="0011667A"/>
    <w:rsid w:val="001206F4"/>
    <w:rsid w:val="0012190A"/>
    <w:rsid w:val="00143587"/>
    <w:rsid w:val="001534FB"/>
    <w:rsid w:val="00161CA0"/>
    <w:rsid w:val="001B7FBA"/>
    <w:rsid w:val="001C25E0"/>
    <w:rsid w:val="001D31D2"/>
    <w:rsid w:val="001D493D"/>
    <w:rsid w:val="001D56B8"/>
    <w:rsid w:val="001E2E79"/>
    <w:rsid w:val="001E5617"/>
    <w:rsid w:val="002113E9"/>
    <w:rsid w:val="002117E2"/>
    <w:rsid w:val="0021230F"/>
    <w:rsid w:val="002208B9"/>
    <w:rsid w:val="00226C7F"/>
    <w:rsid w:val="00271664"/>
    <w:rsid w:val="00285CBB"/>
    <w:rsid w:val="00290286"/>
    <w:rsid w:val="002C00BB"/>
    <w:rsid w:val="002D0804"/>
    <w:rsid w:val="002D4F62"/>
    <w:rsid w:val="002E342E"/>
    <w:rsid w:val="002F40E4"/>
    <w:rsid w:val="002F5DFB"/>
    <w:rsid w:val="00307138"/>
    <w:rsid w:val="003217C8"/>
    <w:rsid w:val="00330C75"/>
    <w:rsid w:val="00375FE5"/>
    <w:rsid w:val="00382BF7"/>
    <w:rsid w:val="00393DEB"/>
    <w:rsid w:val="0039694B"/>
    <w:rsid w:val="003B47AF"/>
    <w:rsid w:val="003C3FAF"/>
    <w:rsid w:val="003C5AC5"/>
    <w:rsid w:val="00410737"/>
    <w:rsid w:val="00412BA4"/>
    <w:rsid w:val="00426327"/>
    <w:rsid w:val="00426A22"/>
    <w:rsid w:val="004722B5"/>
    <w:rsid w:val="004861E6"/>
    <w:rsid w:val="004936F1"/>
    <w:rsid w:val="004C0DD3"/>
    <w:rsid w:val="004D12EB"/>
    <w:rsid w:val="004E334E"/>
    <w:rsid w:val="004E6CBF"/>
    <w:rsid w:val="005103A4"/>
    <w:rsid w:val="005247D8"/>
    <w:rsid w:val="005501B0"/>
    <w:rsid w:val="005554C2"/>
    <w:rsid w:val="00556BB1"/>
    <w:rsid w:val="00560EE5"/>
    <w:rsid w:val="00566B42"/>
    <w:rsid w:val="005A3897"/>
    <w:rsid w:val="005B4045"/>
    <w:rsid w:val="005B7447"/>
    <w:rsid w:val="005D62EE"/>
    <w:rsid w:val="005E62F6"/>
    <w:rsid w:val="005F11F0"/>
    <w:rsid w:val="00607158"/>
    <w:rsid w:val="00613E2A"/>
    <w:rsid w:val="00653830"/>
    <w:rsid w:val="00670C56"/>
    <w:rsid w:val="00680F1E"/>
    <w:rsid w:val="00684974"/>
    <w:rsid w:val="0068576A"/>
    <w:rsid w:val="00687541"/>
    <w:rsid w:val="006A4655"/>
    <w:rsid w:val="006B230F"/>
    <w:rsid w:val="006C2B48"/>
    <w:rsid w:val="006C65C6"/>
    <w:rsid w:val="006E0F95"/>
    <w:rsid w:val="006F56E4"/>
    <w:rsid w:val="006F5BDD"/>
    <w:rsid w:val="007026F3"/>
    <w:rsid w:val="00702A3E"/>
    <w:rsid w:val="007237B8"/>
    <w:rsid w:val="00732478"/>
    <w:rsid w:val="00787AFC"/>
    <w:rsid w:val="007926AE"/>
    <w:rsid w:val="00793A10"/>
    <w:rsid w:val="00796FA6"/>
    <w:rsid w:val="007A0F37"/>
    <w:rsid w:val="007A63BB"/>
    <w:rsid w:val="00813571"/>
    <w:rsid w:val="00843717"/>
    <w:rsid w:val="008445A3"/>
    <w:rsid w:val="00850D31"/>
    <w:rsid w:val="00861263"/>
    <w:rsid w:val="0086759B"/>
    <w:rsid w:val="008954A0"/>
    <w:rsid w:val="008C264E"/>
    <w:rsid w:val="008C771C"/>
    <w:rsid w:val="008E0D55"/>
    <w:rsid w:val="0090136D"/>
    <w:rsid w:val="00912585"/>
    <w:rsid w:val="0091532A"/>
    <w:rsid w:val="0095256C"/>
    <w:rsid w:val="00953016"/>
    <w:rsid w:val="00955A08"/>
    <w:rsid w:val="009773CE"/>
    <w:rsid w:val="009812C0"/>
    <w:rsid w:val="0098783F"/>
    <w:rsid w:val="009C437F"/>
    <w:rsid w:val="009D35BC"/>
    <w:rsid w:val="009E2C52"/>
    <w:rsid w:val="00A24807"/>
    <w:rsid w:val="00A31A5D"/>
    <w:rsid w:val="00A35067"/>
    <w:rsid w:val="00A43ED2"/>
    <w:rsid w:val="00A72263"/>
    <w:rsid w:val="00A77AE7"/>
    <w:rsid w:val="00A85F8D"/>
    <w:rsid w:val="00AA081C"/>
    <w:rsid w:val="00AA5229"/>
    <w:rsid w:val="00AC6D52"/>
    <w:rsid w:val="00AD3974"/>
    <w:rsid w:val="00AD6DE8"/>
    <w:rsid w:val="00AF6542"/>
    <w:rsid w:val="00B05443"/>
    <w:rsid w:val="00B12110"/>
    <w:rsid w:val="00B12BD8"/>
    <w:rsid w:val="00B1765C"/>
    <w:rsid w:val="00B276E8"/>
    <w:rsid w:val="00B27DCE"/>
    <w:rsid w:val="00B33860"/>
    <w:rsid w:val="00B34E32"/>
    <w:rsid w:val="00B54A29"/>
    <w:rsid w:val="00B6382B"/>
    <w:rsid w:val="00B71CD5"/>
    <w:rsid w:val="00B74E15"/>
    <w:rsid w:val="00B8032A"/>
    <w:rsid w:val="00B92CAB"/>
    <w:rsid w:val="00B95ADB"/>
    <w:rsid w:val="00BA16CC"/>
    <w:rsid w:val="00BA7FF5"/>
    <w:rsid w:val="00BB26EE"/>
    <w:rsid w:val="00BC49DB"/>
    <w:rsid w:val="00BE5FC1"/>
    <w:rsid w:val="00BF546F"/>
    <w:rsid w:val="00C076A6"/>
    <w:rsid w:val="00C13461"/>
    <w:rsid w:val="00C13D62"/>
    <w:rsid w:val="00C22B3B"/>
    <w:rsid w:val="00C36516"/>
    <w:rsid w:val="00C409B0"/>
    <w:rsid w:val="00C505E7"/>
    <w:rsid w:val="00C52BFD"/>
    <w:rsid w:val="00C874F4"/>
    <w:rsid w:val="00CB1EFD"/>
    <w:rsid w:val="00CB39DF"/>
    <w:rsid w:val="00CB6952"/>
    <w:rsid w:val="00CB7F4B"/>
    <w:rsid w:val="00CD1042"/>
    <w:rsid w:val="00CE2CC2"/>
    <w:rsid w:val="00CE7581"/>
    <w:rsid w:val="00CF6235"/>
    <w:rsid w:val="00D211A2"/>
    <w:rsid w:val="00D36801"/>
    <w:rsid w:val="00D46247"/>
    <w:rsid w:val="00D515B1"/>
    <w:rsid w:val="00D60EA9"/>
    <w:rsid w:val="00D64A80"/>
    <w:rsid w:val="00D93DE3"/>
    <w:rsid w:val="00D97C2F"/>
    <w:rsid w:val="00DC208F"/>
    <w:rsid w:val="00DC5FF5"/>
    <w:rsid w:val="00DD302E"/>
    <w:rsid w:val="00DD5DB3"/>
    <w:rsid w:val="00E4797D"/>
    <w:rsid w:val="00E61B28"/>
    <w:rsid w:val="00E66E1D"/>
    <w:rsid w:val="00E7645B"/>
    <w:rsid w:val="00EB2110"/>
    <w:rsid w:val="00EB4FFF"/>
    <w:rsid w:val="00EB513E"/>
    <w:rsid w:val="00EC5EB3"/>
    <w:rsid w:val="00EE34B8"/>
    <w:rsid w:val="00EF005E"/>
    <w:rsid w:val="00EF09D5"/>
    <w:rsid w:val="00F05A4B"/>
    <w:rsid w:val="00F231BA"/>
    <w:rsid w:val="00F40AE0"/>
    <w:rsid w:val="00F67C13"/>
    <w:rsid w:val="00F937AC"/>
    <w:rsid w:val="00FB2F1D"/>
    <w:rsid w:val="00FC549D"/>
    <w:rsid w:val="00FE00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19F7005F"/>
  <w15:docId w15:val="{0D46C097-9503-47E3-9AA1-3A8FBE0E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jc w:val="both"/>
    </w:pPr>
    <w:rPr>
      <w:rFonts w:ascii="Arial" w:hAnsi="Arial"/>
      <w:sz w:val="20"/>
      <w:lang w:val="en-GB"/>
    </w:rPr>
  </w:style>
  <w:style w:type="paragraph" w:styleId="Heading1">
    <w:name w:val="heading 1"/>
    <w:basedOn w:val="Normal"/>
    <w:next w:val="Normal"/>
    <w:link w:val="Heading1Char"/>
    <w:uiPriority w:val="9"/>
    <w:qFormat/>
    <w:pPr>
      <w:keepNext/>
      <w:keepLines/>
      <w:spacing w:before="360" w:after="120"/>
      <w:jc w:val="left"/>
      <w:outlineLvl w:val="0"/>
    </w:pPr>
    <w:rPr>
      <w:rFonts w:eastAsiaTheme="majorEastAsia" w:cstheme="majorBidi"/>
      <w:b/>
      <w:bCs/>
      <w:caps/>
      <w:color w:val="000000"/>
      <w:sz w:val="24"/>
      <w:szCs w:val="28"/>
    </w:rPr>
  </w:style>
  <w:style w:type="paragraph" w:styleId="Heading2">
    <w:name w:val="heading 2"/>
    <w:basedOn w:val="Normal"/>
    <w:next w:val="Normal"/>
    <w:link w:val="Heading2Char"/>
    <w:uiPriority w:val="9"/>
    <w:qFormat/>
    <w:pPr>
      <w:keepNext/>
      <w:keepLines/>
      <w:spacing w:before="300"/>
      <w:jc w:val="left"/>
      <w:outlineLvl w:val="1"/>
    </w:pPr>
    <w:rPr>
      <w:rFonts w:eastAsiaTheme="majorEastAsia" w:cstheme="majorBidi"/>
      <w:b/>
      <w:bCs/>
      <w:color w:val="000000"/>
      <w:sz w:val="22"/>
      <w:szCs w:val="26"/>
    </w:rPr>
  </w:style>
  <w:style w:type="paragraph" w:styleId="Heading3">
    <w:name w:val="heading 3"/>
    <w:basedOn w:val="Normal"/>
    <w:next w:val="Normal"/>
    <w:link w:val="Heading3Char"/>
    <w:uiPriority w:val="9"/>
    <w:qFormat/>
    <w:pPr>
      <w:keepNext/>
      <w:keepLines/>
      <w:spacing w:before="300"/>
      <w:jc w:val="left"/>
      <w:outlineLvl w:val="2"/>
    </w:pPr>
    <w:rPr>
      <w:rFonts w:eastAsiaTheme="majorEastAsia" w:cstheme="majorBidi"/>
      <w:b/>
      <w:bCs/>
    </w:rPr>
  </w:style>
  <w:style w:type="paragraph" w:styleId="Heading4">
    <w:name w:val="heading 4"/>
    <w:basedOn w:val="Normal"/>
    <w:next w:val="Normal"/>
    <w:link w:val="Heading4Char"/>
    <w:uiPriority w:val="9"/>
    <w:qFormat/>
    <w:pPr>
      <w:keepNext/>
      <w:keepLines/>
      <w:spacing w:before="240"/>
      <w:jc w:val="left"/>
      <w:outlineLvl w:val="3"/>
    </w:pPr>
    <w:rPr>
      <w:rFonts w:eastAsiaTheme="majorEastAsia" w:cstheme="majorBidi"/>
      <w:b/>
      <w:bCs/>
      <w:i/>
      <w:iCs/>
    </w:rPr>
  </w:style>
  <w:style w:type="paragraph" w:styleId="Heading5">
    <w:name w:val="heading 5"/>
    <w:basedOn w:val="Normal"/>
    <w:next w:val="Normal"/>
    <w:link w:val="Heading5Char"/>
    <w:uiPriority w:val="9"/>
    <w:qFormat/>
    <w:pPr>
      <w:keepNext/>
      <w:keepLines/>
      <w:spacing w:before="200"/>
      <w:jc w:val="left"/>
      <w:outlineLvl w:val="4"/>
    </w:pPr>
    <w:rPr>
      <w:rFonts w:eastAsiaTheme="majorEastAsia" w:cstheme="majorBidi"/>
      <w:i/>
    </w:rPr>
  </w:style>
  <w:style w:type="paragraph" w:styleId="Heading6">
    <w:name w:val="heading 6"/>
    <w:basedOn w:val="Normal"/>
    <w:next w:val="Normal"/>
    <w:link w:val="Heading6Char"/>
    <w:uiPriority w:val="9"/>
    <w:semiHidden/>
    <w:unhideWhenUsed/>
    <w:pPr>
      <w:keepNext/>
      <w:keepLines/>
      <w:spacing w:before="200"/>
      <w:jc w:val="left"/>
      <w:outlineLvl w:val="5"/>
    </w:pPr>
    <w:rPr>
      <w:rFonts w:eastAsiaTheme="majorEastAsia"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bCs/>
      <w:caps/>
      <w:color w:val="000000"/>
      <w:sz w:val="24"/>
      <w:szCs w:val="28"/>
      <w:lang w:val="en-GB"/>
    </w:rPr>
  </w:style>
  <w:style w:type="character" w:customStyle="1" w:styleId="Heading2Char">
    <w:name w:val="Heading 2 Char"/>
    <w:basedOn w:val="DefaultParagraphFont"/>
    <w:link w:val="Heading2"/>
    <w:uiPriority w:val="9"/>
    <w:rPr>
      <w:rFonts w:ascii="Arial" w:eastAsiaTheme="majorEastAsia" w:hAnsi="Arial" w:cstheme="majorBidi"/>
      <w:b/>
      <w:bCs/>
      <w:color w:val="000000"/>
      <w:szCs w:val="26"/>
      <w:lang w:val="en-GB"/>
    </w:rPr>
  </w:style>
  <w:style w:type="character" w:customStyle="1" w:styleId="Heading3Char">
    <w:name w:val="Heading 3 Char"/>
    <w:basedOn w:val="DefaultParagraphFont"/>
    <w:link w:val="Heading3"/>
    <w:uiPriority w:val="9"/>
    <w:rPr>
      <w:rFonts w:ascii="Arial" w:eastAsiaTheme="majorEastAsia" w:hAnsi="Arial" w:cstheme="majorBidi"/>
      <w:b/>
      <w:bCs/>
      <w:sz w:val="20"/>
      <w:lang w:val="en-GB"/>
    </w:rPr>
  </w:style>
  <w:style w:type="character" w:customStyle="1" w:styleId="Heading4Char">
    <w:name w:val="Heading 4 Char"/>
    <w:basedOn w:val="DefaultParagraphFont"/>
    <w:link w:val="Heading4"/>
    <w:uiPriority w:val="9"/>
    <w:rPr>
      <w:rFonts w:ascii="Arial" w:eastAsiaTheme="majorEastAsia" w:hAnsi="Arial" w:cstheme="majorBidi"/>
      <w:b/>
      <w:bCs/>
      <w:i/>
      <w:iCs/>
      <w:sz w:val="20"/>
      <w:lang w:val="en-GB"/>
    </w:rPr>
  </w:style>
  <w:style w:type="character" w:customStyle="1" w:styleId="Heading5Char">
    <w:name w:val="Heading 5 Char"/>
    <w:basedOn w:val="DefaultParagraphFont"/>
    <w:link w:val="Heading5"/>
    <w:uiPriority w:val="9"/>
    <w:rPr>
      <w:rFonts w:ascii="Arial" w:eastAsiaTheme="majorEastAsia" w:hAnsi="Arial" w:cstheme="majorBidi"/>
      <w:i/>
      <w:sz w:val="20"/>
      <w:lang w:val="en-GB"/>
    </w:rPr>
  </w:style>
  <w:style w:type="character" w:customStyle="1" w:styleId="Heading6Char">
    <w:name w:val="Heading 6 Char"/>
    <w:basedOn w:val="DefaultParagraphFont"/>
    <w:link w:val="Heading6"/>
    <w:uiPriority w:val="9"/>
    <w:semiHidden/>
    <w:rPr>
      <w:rFonts w:ascii="Arial" w:eastAsiaTheme="majorEastAsia" w:hAnsi="Arial" w:cstheme="majorBidi"/>
      <w:i/>
      <w:iCs/>
      <w:color w:val="000000"/>
      <w:sz w:val="20"/>
      <w:lang w:val="en-GB"/>
    </w:rPr>
  </w:style>
  <w:style w:type="paragraph" w:customStyle="1" w:styleId="Bulletslevel1">
    <w:name w:val="Bullets level 1"/>
    <w:basedOn w:val="Normal"/>
    <w:link w:val="Bulletslevel1Char"/>
    <w:qFormat/>
    <w:pPr>
      <w:numPr>
        <w:numId w:val="1"/>
      </w:numPr>
      <w:spacing w:before="60" w:after="60"/>
      <w:jc w:val="left"/>
    </w:pPr>
    <w:rPr>
      <w:rFonts w:cs="Arial"/>
      <w:szCs w:val="20"/>
    </w:rPr>
  </w:style>
  <w:style w:type="character" w:customStyle="1" w:styleId="Bulletslevel1Char">
    <w:name w:val="Bullets level 1 Char"/>
    <w:basedOn w:val="DefaultParagraphFont"/>
    <w:link w:val="Bulletslevel1"/>
    <w:rPr>
      <w:rFonts w:ascii="Arial" w:hAnsi="Arial" w:cs="Arial"/>
      <w:sz w:val="20"/>
      <w:szCs w:val="20"/>
      <w:lang w:val="en-GB"/>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Charttableheading">
    <w:name w:val="Chart/table heading"/>
    <w:basedOn w:val="Normal"/>
    <w:link w:val="CharttableheadingChar"/>
    <w:qFormat/>
    <w:pPr>
      <w:keepNext/>
      <w:spacing w:before="120"/>
      <w:jc w:val="left"/>
    </w:pPr>
    <w:rPr>
      <w:i/>
    </w:rPr>
  </w:style>
  <w:style w:type="character" w:customStyle="1" w:styleId="CharttableheadingChar">
    <w:name w:val="Chart/table heading Char"/>
    <w:basedOn w:val="DefaultParagraphFont"/>
    <w:link w:val="Charttableheading"/>
    <w:rPr>
      <w:rFonts w:ascii="Arial" w:hAnsi="Arial"/>
      <w:i/>
      <w:sz w:val="20"/>
    </w:rPr>
  </w:style>
  <w:style w:type="paragraph" w:customStyle="1" w:styleId="Tabletext">
    <w:name w:val="Table text"/>
    <w:basedOn w:val="Normal"/>
    <w:link w:val="TabletextChar"/>
    <w:qFormat/>
    <w:pPr>
      <w:spacing w:before="60" w:after="60" w:line="240" w:lineRule="auto"/>
      <w:jc w:val="left"/>
    </w:pPr>
  </w:style>
  <w:style w:type="character" w:customStyle="1" w:styleId="TabletextChar">
    <w:name w:val="Table text Char"/>
    <w:basedOn w:val="DefaultParagraphFont"/>
    <w:link w:val="Tabletext"/>
    <w:rPr>
      <w:rFonts w:ascii="Arial" w:hAnsi="Arial"/>
      <w:sz w:val="20"/>
      <w:lang w:val="en-GB"/>
    </w:r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rPr>
      <w:rFonts w:ascii="Arial" w:hAnsi="Arial"/>
      <w:sz w:val="20"/>
    </w:r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rPr>
      <w:rFonts w:ascii="Arial" w:hAnsi="Arial"/>
      <w:sz w:val="20"/>
    </w:rPr>
  </w:style>
  <w:style w:type="paragraph" w:styleId="Title">
    <w:name w:val="Title"/>
    <w:basedOn w:val="Normal"/>
    <w:next w:val="Normal"/>
    <w:link w:val="TitleChar"/>
    <w:uiPriority w:val="10"/>
    <w:qFormat/>
    <w:pPr>
      <w:spacing w:before="360" w:after="180"/>
      <w:contextualSpacing/>
      <w:jc w:val="center"/>
    </w:pPr>
    <w:rPr>
      <w:rFonts w:ascii="Arial Bold" w:eastAsiaTheme="majorEastAsia" w:hAnsi="Arial Bold" w:cstheme="majorBidi"/>
      <w:b/>
      <w:caps/>
      <w:sz w:val="28"/>
      <w:szCs w:val="52"/>
    </w:rPr>
  </w:style>
  <w:style w:type="character" w:customStyle="1" w:styleId="TitleChar">
    <w:name w:val="Title Char"/>
    <w:basedOn w:val="DefaultParagraphFont"/>
    <w:link w:val="Title"/>
    <w:uiPriority w:val="10"/>
    <w:rPr>
      <w:rFonts w:ascii="Arial Bold" w:eastAsiaTheme="majorEastAsia" w:hAnsi="Arial Bold" w:cstheme="majorBidi"/>
      <w:b/>
      <w:caps/>
      <w:sz w:val="28"/>
      <w:szCs w:val="52"/>
    </w:rPr>
  </w:style>
  <w:style w:type="character" w:styleId="Hyperlink">
    <w:name w:val="Hyperlink"/>
    <w:basedOn w:val="DefaultParagraphFont"/>
    <w:uiPriority w:val="99"/>
    <w:unhideWhenUsed/>
    <w:rPr>
      <w:color w:val="8C9691" w:themeColor="hyperlink"/>
      <w:u w:val="single"/>
    </w:rPr>
  </w:style>
  <w:style w:type="paragraph" w:styleId="TOC1">
    <w:name w:val="toc 1"/>
    <w:basedOn w:val="Normal"/>
    <w:next w:val="Normal"/>
    <w:uiPriority w:val="39"/>
    <w:unhideWhenUsed/>
    <w:pPr>
      <w:spacing w:after="100"/>
      <w:jc w:val="left"/>
    </w:pPr>
    <w:rPr>
      <w:caps/>
    </w:rPr>
  </w:style>
  <w:style w:type="paragraph" w:styleId="TOC2">
    <w:name w:val="toc 2"/>
    <w:basedOn w:val="Normal"/>
    <w:next w:val="Normal"/>
    <w:uiPriority w:val="39"/>
    <w:unhideWhenUsed/>
    <w:pPr>
      <w:spacing w:after="100"/>
      <w:ind w:left="198"/>
      <w:jc w:val="left"/>
    </w:pPr>
  </w:style>
  <w:style w:type="paragraph" w:styleId="TOC3">
    <w:name w:val="toc 3"/>
    <w:basedOn w:val="Normal"/>
    <w:next w:val="Normal"/>
    <w:uiPriority w:val="39"/>
    <w:unhideWhenUsed/>
    <w:pPr>
      <w:spacing w:after="100"/>
      <w:ind w:left="403"/>
      <w:jc w:val="left"/>
    </w:pPr>
  </w:style>
  <w:style w:type="paragraph" w:styleId="TOC4">
    <w:name w:val="toc 4"/>
    <w:basedOn w:val="Normal"/>
    <w:next w:val="Normal"/>
    <w:uiPriority w:val="39"/>
    <w:unhideWhenUsed/>
    <w:pPr>
      <w:spacing w:after="100"/>
      <w:ind w:left="601"/>
      <w:jc w:val="left"/>
    </w:pPr>
  </w:style>
  <w:style w:type="paragraph" w:styleId="TOC5">
    <w:name w:val="toc 5"/>
    <w:basedOn w:val="Normal"/>
    <w:next w:val="Normal"/>
    <w:uiPriority w:val="39"/>
    <w:unhideWhenUsed/>
    <w:pPr>
      <w:spacing w:after="100"/>
      <w:ind w:left="799"/>
      <w:jc w:val="left"/>
    </w:pPr>
  </w:style>
  <w:style w:type="paragraph" w:styleId="TOC6">
    <w:name w:val="toc 6"/>
    <w:basedOn w:val="Normal"/>
    <w:next w:val="Normal"/>
    <w:uiPriority w:val="39"/>
    <w:semiHidden/>
    <w:unhideWhenUsed/>
    <w:pPr>
      <w:spacing w:after="100"/>
      <w:ind w:left="1000"/>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totables">
    <w:name w:val="Notes to tables"/>
    <w:basedOn w:val="Normal"/>
    <w:link w:val="NotestotablesChar"/>
    <w:qFormat/>
    <w:pPr>
      <w:spacing w:before="40" w:line="264" w:lineRule="auto"/>
    </w:pPr>
    <w:rPr>
      <w:i/>
      <w:sz w:val="18"/>
      <w:szCs w:val="18"/>
    </w:rPr>
  </w:style>
  <w:style w:type="character" w:customStyle="1" w:styleId="NotestotablesChar">
    <w:name w:val="Notes to tables Char"/>
    <w:basedOn w:val="DefaultParagraphFont"/>
    <w:link w:val="Notestotables"/>
    <w:rPr>
      <w:rFonts w:ascii="Arial" w:hAnsi="Arial"/>
      <w:i/>
      <w:sz w:val="18"/>
      <w:szCs w:val="18"/>
    </w:rPr>
  </w:style>
  <w:style w:type="paragraph" w:customStyle="1" w:styleId="Bulletslevel2">
    <w:name w:val="Bullets level 2"/>
    <w:basedOn w:val="Bulletslevel1"/>
    <w:link w:val="Bulletslevel2Char"/>
    <w:qFormat/>
    <w:pPr>
      <w:numPr>
        <w:ilvl w:val="1"/>
        <w:numId w:val="2"/>
      </w:numPr>
      <w:ind w:left="714" w:hanging="357"/>
    </w:pPr>
  </w:style>
  <w:style w:type="character" w:customStyle="1" w:styleId="Bulletslevel2Char">
    <w:name w:val="Bullets level 2 Char"/>
    <w:basedOn w:val="Bulletslevel1Char"/>
    <w:link w:val="Bulletslevel2"/>
    <w:rPr>
      <w:rFonts w:ascii="Arial" w:hAnsi="Arial" w:cs="Arial"/>
      <w:sz w:val="20"/>
      <w:szCs w:val="20"/>
      <w:lang w:val="en-GB"/>
    </w:rPr>
  </w:style>
  <w:style w:type="character" w:styleId="PlaceholderText">
    <w:name w:val="Placeholder Text"/>
    <w:basedOn w:val="DefaultParagraphFont"/>
    <w:uiPriority w:val="99"/>
    <w:semiHidden/>
    <w:rPr>
      <w:color w:val="808080"/>
    </w:rPr>
  </w:style>
  <w:style w:type="paragraph" w:customStyle="1" w:styleId="Bullets">
    <w:name w:val="Bullets"/>
    <w:basedOn w:val="Normal"/>
    <w:qFormat/>
    <w:pPr>
      <w:tabs>
        <w:tab w:val="num" w:pos="360"/>
      </w:tabs>
      <w:spacing w:before="60" w:after="60"/>
      <w:ind w:left="360" w:hanging="360"/>
      <w:jc w:val="left"/>
    </w:pPr>
    <w:rPr>
      <w:rFonts w:cs="Arial"/>
      <w:szCs w:val="20"/>
    </w:rPr>
  </w:style>
  <w:style w:type="paragraph" w:customStyle="1" w:styleId="Tablenumbers">
    <w:name w:val="Table numbers"/>
    <w:basedOn w:val="Tabletext"/>
    <w:qFormat/>
    <w:pPr>
      <w:jc w:val="right"/>
    </w:pPr>
    <w:rPr>
      <w:szCs w:val="20"/>
    </w:rPr>
  </w:style>
  <w:style w:type="paragraph" w:styleId="ListParagraph">
    <w:name w:val="List Paragraph"/>
    <w:basedOn w:val="Normal"/>
    <w:link w:val="ListParagraphChar"/>
    <w:uiPriority w:val="34"/>
    <w:qFormat/>
    <w:pPr>
      <w:ind w:left="720"/>
      <w:contextualSpacing/>
    </w:p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rFonts w:ascii="Arial" w:hAnsi="Arial"/>
      <w:sz w:val="20"/>
      <w:szCs w:val="20"/>
      <w:lang w:val="en-GB"/>
    </w:rPr>
  </w:style>
  <w:style w:type="character" w:styleId="FootnoteReference">
    <w:name w:val="footnote reference"/>
    <w:basedOn w:val="DefaultParagraphFont"/>
    <w:uiPriority w:val="99"/>
    <w:unhideWhenUsed/>
    <w:rPr>
      <w:vertAlign w:val="superscript"/>
    </w:rPr>
  </w:style>
  <w:style w:type="paragraph" w:customStyle="1" w:styleId="Footnote">
    <w:name w:val="Footnote"/>
    <w:basedOn w:val="FootnoteText"/>
    <w:link w:val="FootnoteChar"/>
    <w:qFormat/>
    <w:pPr>
      <w:jc w:val="left"/>
    </w:pPr>
    <w:rPr>
      <w:rFonts w:asciiTheme="majorHAnsi" w:eastAsia="Cambria" w:hAnsiTheme="majorHAnsi" w:cs="Arial"/>
      <w:i/>
      <w:sz w:val="18"/>
      <w:szCs w:val="18"/>
      <w:lang w:val="en-US"/>
    </w:rPr>
  </w:style>
  <w:style w:type="character" w:customStyle="1" w:styleId="FootnoteChar">
    <w:name w:val="Footnote Char"/>
    <w:basedOn w:val="FootnoteTextChar"/>
    <w:link w:val="Footnote"/>
    <w:rPr>
      <w:rFonts w:asciiTheme="majorHAnsi" w:eastAsia="Cambria" w:hAnsiTheme="majorHAnsi" w:cs="Arial"/>
      <w:i/>
      <w:sz w:val="18"/>
      <w:szCs w:val="18"/>
      <w:lang w:val="en-US"/>
    </w:r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FDF1A3" w:themeColor="accent1" w:themeTint="99"/>
        <w:bottom w:val="single" w:sz="2" w:space="0" w:color="FDF1A3" w:themeColor="accent1" w:themeTint="99"/>
        <w:insideH w:val="single" w:sz="2" w:space="0" w:color="FDF1A3" w:themeColor="accent1" w:themeTint="99"/>
        <w:insideV w:val="single" w:sz="2" w:space="0" w:color="FDF1A3" w:themeColor="accent1" w:themeTint="99"/>
      </w:tblBorders>
    </w:tblPr>
    <w:tblStylePr w:type="firstRow">
      <w:rPr>
        <w:b/>
        <w:bCs/>
      </w:rPr>
      <w:tblPr/>
      <w:tcPr>
        <w:tcBorders>
          <w:top w:val="nil"/>
          <w:bottom w:val="single" w:sz="12" w:space="0" w:color="FDF1A3" w:themeColor="accent1" w:themeTint="99"/>
          <w:insideH w:val="nil"/>
          <w:insideV w:val="nil"/>
        </w:tcBorders>
        <w:shd w:val="clear" w:color="auto" w:fill="FFFFFF" w:themeFill="background1"/>
      </w:tcPr>
    </w:tblStylePr>
    <w:tblStylePr w:type="lastRow">
      <w:rPr>
        <w:b/>
        <w:bCs/>
      </w:rPr>
      <w:tblPr/>
      <w:tcPr>
        <w:tcBorders>
          <w:top w:val="double" w:sz="2" w:space="0" w:color="FDF1A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E0" w:themeFill="accent1" w:themeFillTint="33"/>
      </w:tcPr>
    </w:tblStylePr>
    <w:tblStylePr w:type="band1Horz">
      <w:tblPr/>
      <w:tcPr>
        <w:shd w:val="clear" w:color="auto" w:fill="FEFAE0" w:themeFill="accent1" w:themeFillTint="33"/>
      </w:tcPr>
    </w:tblStylePr>
  </w:style>
  <w:style w:type="table" w:styleId="LightShading-Accent6">
    <w:name w:val="Light Shading Accent 6"/>
    <w:basedOn w:val="TableNormal"/>
    <w:uiPriority w:val="60"/>
    <w:pPr>
      <w:spacing w:after="0" w:line="240" w:lineRule="auto"/>
    </w:pPr>
    <w:rPr>
      <w:color w:val="6E7E54" w:themeColor="accent6" w:themeShade="BF"/>
    </w:rPr>
    <w:tblPr>
      <w:tblStyleRowBandSize w:val="1"/>
      <w:tblStyleColBandSize w:val="1"/>
      <w:tblBorders>
        <w:top w:val="single" w:sz="8" w:space="0" w:color="92A476" w:themeColor="accent6"/>
        <w:bottom w:val="single" w:sz="8" w:space="0" w:color="92A476" w:themeColor="accent6"/>
      </w:tblBorders>
    </w:tblPr>
    <w:tblStylePr w:type="firstRow">
      <w:pPr>
        <w:spacing w:before="0" w:after="0" w:line="240" w:lineRule="auto"/>
      </w:pPr>
      <w:rPr>
        <w:b/>
        <w:bCs/>
      </w:rPr>
      <w:tblPr/>
      <w:tcPr>
        <w:tcBorders>
          <w:top w:val="single" w:sz="8" w:space="0" w:color="92A476" w:themeColor="accent6"/>
          <w:left w:val="nil"/>
          <w:bottom w:val="single" w:sz="8" w:space="0" w:color="92A476" w:themeColor="accent6"/>
          <w:right w:val="nil"/>
          <w:insideH w:val="nil"/>
          <w:insideV w:val="nil"/>
        </w:tcBorders>
      </w:tcPr>
    </w:tblStylePr>
    <w:tblStylePr w:type="lastRow">
      <w:pPr>
        <w:spacing w:before="0" w:after="0" w:line="240" w:lineRule="auto"/>
      </w:pPr>
      <w:rPr>
        <w:b/>
        <w:bCs/>
      </w:rPr>
      <w:tblPr/>
      <w:tcPr>
        <w:tcBorders>
          <w:top w:val="single" w:sz="8" w:space="0" w:color="92A476" w:themeColor="accent6"/>
          <w:left w:val="nil"/>
          <w:bottom w:val="single" w:sz="8" w:space="0" w:color="92A47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8DD" w:themeFill="accent6" w:themeFillTint="3F"/>
      </w:tcPr>
    </w:tblStylePr>
    <w:tblStylePr w:type="band1Horz">
      <w:tblPr/>
      <w:tcPr>
        <w:tcBorders>
          <w:left w:val="nil"/>
          <w:right w:val="nil"/>
          <w:insideH w:val="nil"/>
          <w:insideV w:val="nil"/>
        </w:tcBorders>
        <w:shd w:val="clear" w:color="auto" w:fill="E4E8DD" w:themeFill="accent6" w:themeFillTint="3F"/>
      </w:tcPr>
    </w:tblStylePr>
  </w:style>
  <w:style w:type="table" w:styleId="LightShading-Accent1">
    <w:name w:val="Light Shading Accent 1"/>
    <w:basedOn w:val="TableNormal"/>
    <w:uiPriority w:val="60"/>
    <w:pPr>
      <w:spacing w:after="0" w:line="240" w:lineRule="auto"/>
    </w:pPr>
    <w:rPr>
      <w:color w:val="FBDA0D" w:themeColor="accent1" w:themeShade="BF"/>
    </w:rPr>
    <w:tblPr>
      <w:tblStyleRowBandSize w:val="1"/>
      <w:tblStyleColBandSize w:val="1"/>
      <w:tblBorders>
        <w:top w:val="single" w:sz="8" w:space="0" w:color="FDE866" w:themeColor="accent1"/>
        <w:bottom w:val="single" w:sz="8" w:space="0" w:color="FDE866" w:themeColor="accent1"/>
      </w:tblBorders>
    </w:tblPr>
    <w:tblStylePr w:type="firstRow">
      <w:pPr>
        <w:spacing w:before="0" w:after="0" w:line="240" w:lineRule="auto"/>
      </w:pPr>
      <w:rPr>
        <w:b/>
        <w:bCs/>
      </w:rPr>
      <w:tblPr/>
      <w:tcPr>
        <w:tcBorders>
          <w:top w:val="single" w:sz="8" w:space="0" w:color="FDE866" w:themeColor="accent1"/>
          <w:left w:val="nil"/>
          <w:bottom w:val="single" w:sz="8" w:space="0" w:color="FDE866" w:themeColor="accent1"/>
          <w:right w:val="nil"/>
          <w:insideH w:val="nil"/>
          <w:insideV w:val="nil"/>
        </w:tcBorders>
      </w:tcPr>
    </w:tblStylePr>
    <w:tblStylePr w:type="lastRow">
      <w:pPr>
        <w:spacing w:before="0" w:after="0" w:line="240" w:lineRule="auto"/>
      </w:pPr>
      <w:rPr>
        <w:b/>
        <w:bCs/>
      </w:rPr>
      <w:tblPr/>
      <w:tcPr>
        <w:tcBorders>
          <w:top w:val="single" w:sz="8" w:space="0" w:color="FDE866" w:themeColor="accent1"/>
          <w:left w:val="nil"/>
          <w:bottom w:val="single" w:sz="8" w:space="0" w:color="FDE8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D9" w:themeFill="accent1" w:themeFillTint="3F"/>
      </w:tcPr>
    </w:tblStylePr>
    <w:tblStylePr w:type="band1Horz">
      <w:tblPr/>
      <w:tcPr>
        <w:tcBorders>
          <w:left w:val="nil"/>
          <w:right w:val="nil"/>
          <w:insideH w:val="nil"/>
          <w:insideV w:val="nil"/>
        </w:tcBorders>
        <w:shd w:val="clear" w:color="auto" w:fill="FEF9D9" w:themeFill="accent1" w:themeFillTint="3F"/>
      </w:tcPr>
    </w:tblStyle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DE866" w:themeColor="accent1"/>
        <w:left w:val="single" w:sz="8" w:space="0" w:color="FDE866" w:themeColor="accent1"/>
        <w:bottom w:val="single" w:sz="8" w:space="0" w:color="FDE866" w:themeColor="accent1"/>
        <w:right w:val="single" w:sz="8" w:space="0" w:color="FDE866" w:themeColor="accent1"/>
      </w:tblBorders>
    </w:tblPr>
    <w:tblStylePr w:type="firstRow">
      <w:pPr>
        <w:spacing w:before="0" w:after="0" w:line="240" w:lineRule="auto"/>
      </w:pPr>
      <w:rPr>
        <w:b/>
        <w:bCs/>
        <w:color w:val="FFFFFF" w:themeColor="background1"/>
      </w:rPr>
      <w:tblPr/>
      <w:tcPr>
        <w:shd w:val="clear" w:color="auto" w:fill="FDE866" w:themeFill="accent1"/>
      </w:tcPr>
    </w:tblStylePr>
    <w:tblStylePr w:type="lastRow">
      <w:pPr>
        <w:spacing w:before="0" w:after="0" w:line="240" w:lineRule="auto"/>
      </w:pPr>
      <w:rPr>
        <w:b/>
        <w:bCs/>
      </w:rPr>
      <w:tblPr/>
      <w:tcPr>
        <w:tcBorders>
          <w:top w:val="double" w:sz="6" w:space="0" w:color="FDE866" w:themeColor="accent1"/>
          <w:left w:val="single" w:sz="8" w:space="0" w:color="FDE866" w:themeColor="accent1"/>
          <w:bottom w:val="single" w:sz="8" w:space="0" w:color="FDE866" w:themeColor="accent1"/>
          <w:right w:val="single" w:sz="8" w:space="0" w:color="FDE866" w:themeColor="accent1"/>
        </w:tcBorders>
      </w:tcPr>
    </w:tblStylePr>
    <w:tblStylePr w:type="firstCol">
      <w:rPr>
        <w:b/>
        <w:bCs/>
      </w:rPr>
    </w:tblStylePr>
    <w:tblStylePr w:type="lastCol">
      <w:rPr>
        <w:b/>
        <w:bCs/>
      </w:rPr>
    </w:tblStylePr>
    <w:tblStylePr w:type="band1Vert">
      <w:tblPr/>
      <w:tcPr>
        <w:tcBorders>
          <w:top w:val="single" w:sz="8" w:space="0" w:color="FDE866" w:themeColor="accent1"/>
          <w:left w:val="single" w:sz="8" w:space="0" w:color="FDE866" w:themeColor="accent1"/>
          <w:bottom w:val="single" w:sz="8" w:space="0" w:color="FDE866" w:themeColor="accent1"/>
          <w:right w:val="single" w:sz="8" w:space="0" w:color="FDE866" w:themeColor="accent1"/>
        </w:tcBorders>
      </w:tcPr>
    </w:tblStylePr>
    <w:tblStylePr w:type="band1Horz">
      <w:tblPr/>
      <w:tcPr>
        <w:tcBorders>
          <w:top w:val="single" w:sz="8" w:space="0" w:color="FDE866" w:themeColor="accent1"/>
          <w:left w:val="single" w:sz="8" w:space="0" w:color="FDE866" w:themeColor="accent1"/>
          <w:bottom w:val="single" w:sz="8" w:space="0" w:color="FDE866" w:themeColor="accent1"/>
          <w:right w:val="single" w:sz="8" w:space="0" w:color="FDE866" w:themeColor="accent1"/>
        </w:tcBorders>
      </w:tcPr>
    </w:tblStylePr>
  </w:style>
  <w:style w:type="table" w:customStyle="1" w:styleId="PlainTable51">
    <w:name w:val="Plain Table 51"/>
    <w:basedOn w:val="TableNormal"/>
    <w:uiPriority w:val="45"/>
    <w:pPr>
      <w:spacing w:after="0" w:line="240" w:lineRule="auto"/>
    </w:pPr>
    <w:rPr>
      <w:rFonts w:ascii="Times New Roman" w:eastAsia="Times New Roman" w:hAnsi="Times New Roman" w:cs="Times New Roman"/>
      <w:sz w:val="20"/>
      <w:szCs w:val="20"/>
      <w:lang w:eastAsia="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 w:type="table" w:customStyle="1" w:styleId="ListTable3-Accent31">
    <w:name w:val="List Table 3 - Accent 31"/>
    <w:basedOn w:val="TableNormal"/>
    <w:uiPriority w:val="48"/>
    <w:pPr>
      <w:spacing w:after="0" w:line="240" w:lineRule="auto"/>
    </w:pPr>
    <w:tblPr>
      <w:tblStyleRowBandSize w:val="1"/>
      <w:tblStyleColBandSize w:val="1"/>
      <w:tblBorders>
        <w:top w:val="single" w:sz="4" w:space="0" w:color="7697AD" w:themeColor="accent3"/>
        <w:left w:val="single" w:sz="4" w:space="0" w:color="7697AD" w:themeColor="accent3"/>
        <w:bottom w:val="single" w:sz="4" w:space="0" w:color="7697AD" w:themeColor="accent3"/>
        <w:right w:val="single" w:sz="4" w:space="0" w:color="7697AD" w:themeColor="accent3"/>
      </w:tblBorders>
    </w:tblPr>
    <w:tblStylePr w:type="firstRow">
      <w:rPr>
        <w:b/>
        <w:bCs/>
        <w:color w:val="FFFFFF" w:themeColor="background1"/>
      </w:rPr>
      <w:tblPr/>
      <w:tcPr>
        <w:shd w:val="clear" w:color="auto" w:fill="7697AD" w:themeFill="accent3"/>
      </w:tcPr>
    </w:tblStylePr>
    <w:tblStylePr w:type="lastRow">
      <w:rPr>
        <w:b/>
        <w:bCs/>
      </w:rPr>
      <w:tblPr/>
      <w:tcPr>
        <w:tcBorders>
          <w:top w:val="double" w:sz="4" w:space="0" w:color="769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97AD" w:themeColor="accent3"/>
          <w:right w:val="single" w:sz="4" w:space="0" w:color="7697AD" w:themeColor="accent3"/>
        </w:tcBorders>
      </w:tcPr>
    </w:tblStylePr>
    <w:tblStylePr w:type="band1Horz">
      <w:tblPr/>
      <w:tcPr>
        <w:tcBorders>
          <w:top w:val="single" w:sz="4" w:space="0" w:color="7697AD" w:themeColor="accent3"/>
          <w:bottom w:val="single" w:sz="4" w:space="0" w:color="769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97AD" w:themeColor="accent3"/>
          <w:left w:val="nil"/>
        </w:tcBorders>
      </w:tcPr>
    </w:tblStylePr>
    <w:tblStylePr w:type="swCell">
      <w:tblPr/>
      <w:tcPr>
        <w:tcBorders>
          <w:top w:val="double" w:sz="4" w:space="0" w:color="7697AD" w:themeColor="accent3"/>
          <w:right w:val="nil"/>
        </w:tcBorders>
      </w:tcPr>
    </w:tblStylePr>
  </w:style>
  <w:style w:type="table" w:customStyle="1" w:styleId="ListTable3-Accent51">
    <w:name w:val="List Table 3 - Accent 51"/>
    <w:basedOn w:val="TableNormal"/>
    <w:uiPriority w:val="48"/>
    <w:pPr>
      <w:spacing w:after="0" w:line="240" w:lineRule="auto"/>
    </w:pPr>
    <w:tblPr>
      <w:tblStyleRowBandSize w:val="1"/>
      <w:tblStyleColBandSize w:val="1"/>
      <w:tblBorders>
        <w:top w:val="single" w:sz="4" w:space="0" w:color="74A0AD" w:themeColor="accent5"/>
        <w:left w:val="single" w:sz="4" w:space="0" w:color="74A0AD" w:themeColor="accent5"/>
        <w:bottom w:val="single" w:sz="4" w:space="0" w:color="74A0AD" w:themeColor="accent5"/>
        <w:right w:val="single" w:sz="4" w:space="0" w:color="74A0AD" w:themeColor="accent5"/>
      </w:tblBorders>
    </w:tblPr>
    <w:tblStylePr w:type="firstRow">
      <w:rPr>
        <w:b/>
        <w:bCs/>
        <w:color w:val="FFFFFF" w:themeColor="background1"/>
      </w:rPr>
      <w:tblPr/>
      <w:tcPr>
        <w:shd w:val="clear" w:color="auto" w:fill="74A0AD" w:themeFill="accent5"/>
      </w:tcPr>
    </w:tblStylePr>
    <w:tblStylePr w:type="lastRow">
      <w:rPr>
        <w:b/>
        <w:bCs/>
      </w:rPr>
      <w:tblPr/>
      <w:tcPr>
        <w:tcBorders>
          <w:top w:val="double" w:sz="4" w:space="0" w:color="74A0A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A0AD" w:themeColor="accent5"/>
          <w:right w:val="single" w:sz="4" w:space="0" w:color="74A0AD" w:themeColor="accent5"/>
        </w:tcBorders>
      </w:tcPr>
    </w:tblStylePr>
    <w:tblStylePr w:type="band1Horz">
      <w:tblPr/>
      <w:tcPr>
        <w:tcBorders>
          <w:top w:val="single" w:sz="4" w:space="0" w:color="74A0AD" w:themeColor="accent5"/>
          <w:bottom w:val="single" w:sz="4" w:space="0" w:color="74A0A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A0AD" w:themeColor="accent5"/>
          <w:left w:val="nil"/>
        </w:tcBorders>
      </w:tcPr>
    </w:tblStylePr>
    <w:tblStylePr w:type="swCell">
      <w:tblPr/>
      <w:tcPr>
        <w:tcBorders>
          <w:top w:val="double" w:sz="4" w:space="0" w:color="74A0AD" w:themeColor="accent5"/>
          <w:right w:val="nil"/>
        </w:tcBorders>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B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A0A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A0A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A0A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A0AD" w:themeFill="accent5"/>
      </w:tcPr>
    </w:tblStylePr>
    <w:tblStylePr w:type="band1Vert">
      <w:tblPr/>
      <w:tcPr>
        <w:shd w:val="clear" w:color="auto" w:fill="C7D8DE" w:themeFill="accent5" w:themeFillTint="66"/>
      </w:tcPr>
    </w:tblStylePr>
    <w:tblStylePr w:type="band1Horz">
      <w:tblPr/>
      <w:tcPr>
        <w:shd w:val="clear" w:color="auto" w:fill="C7D8DE" w:themeFill="accent5" w:themeFillTint="66"/>
      </w:tcPr>
    </w:tblStylePr>
  </w:style>
  <w:style w:type="character" w:styleId="Strong">
    <w:name w:val="Strong"/>
    <w:basedOn w:val="DefaultParagraphFont"/>
    <w:uiPriority w:val="22"/>
    <w:qFormat/>
    <w:rPr>
      <w:b/>
      <w:bC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ACC0CD" w:themeColor="accent3" w:themeTint="99"/>
        <w:left w:val="single" w:sz="4" w:space="0" w:color="ACC0CD" w:themeColor="accent3" w:themeTint="99"/>
        <w:bottom w:val="single" w:sz="4" w:space="0" w:color="ACC0CD" w:themeColor="accent3" w:themeTint="99"/>
        <w:right w:val="single" w:sz="4" w:space="0" w:color="ACC0CD" w:themeColor="accent3" w:themeTint="99"/>
        <w:insideH w:val="single" w:sz="4" w:space="0" w:color="ACC0CD" w:themeColor="accent3" w:themeTint="99"/>
        <w:insideV w:val="single" w:sz="4" w:space="0" w:color="ACC0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EE" w:themeFill="accent3" w:themeFillTint="33"/>
      </w:tcPr>
    </w:tblStylePr>
    <w:tblStylePr w:type="band1Horz">
      <w:tblPr/>
      <w:tcPr>
        <w:shd w:val="clear" w:color="auto" w:fill="E3EAEE" w:themeFill="accent3" w:themeFillTint="33"/>
      </w:tcPr>
    </w:tblStylePr>
    <w:tblStylePr w:type="neCell">
      <w:tblPr/>
      <w:tcPr>
        <w:tcBorders>
          <w:bottom w:val="single" w:sz="4" w:space="0" w:color="ACC0CD" w:themeColor="accent3" w:themeTint="99"/>
        </w:tcBorders>
      </w:tcPr>
    </w:tblStylePr>
    <w:tblStylePr w:type="nwCell">
      <w:tblPr/>
      <w:tcPr>
        <w:tcBorders>
          <w:bottom w:val="single" w:sz="4" w:space="0" w:color="ACC0CD" w:themeColor="accent3" w:themeTint="99"/>
        </w:tcBorders>
      </w:tcPr>
    </w:tblStylePr>
    <w:tblStylePr w:type="seCell">
      <w:tblPr/>
      <w:tcPr>
        <w:tcBorders>
          <w:top w:val="single" w:sz="4" w:space="0" w:color="ACC0CD" w:themeColor="accent3" w:themeTint="99"/>
        </w:tcBorders>
      </w:tcPr>
    </w:tblStylePr>
    <w:tblStylePr w:type="swCell">
      <w:tblPr/>
      <w:tcPr>
        <w:tcBorders>
          <w:top w:val="single" w:sz="4" w:space="0" w:color="ACC0CD" w:themeColor="accent3" w:themeTint="99"/>
        </w:tcBorders>
      </w:tcPr>
    </w:tblStylePr>
  </w:style>
  <w:style w:type="table" w:customStyle="1" w:styleId="ListTable7Colorful-Accent51">
    <w:name w:val="List Table 7 Colorful - Accent 51"/>
    <w:basedOn w:val="TableNormal"/>
    <w:uiPriority w:val="52"/>
    <w:pPr>
      <w:spacing w:after="0" w:line="240" w:lineRule="auto"/>
    </w:pPr>
    <w:rPr>
      <w:color w:val="507B8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A0A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A0A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A0A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A0AD" w:themeColor="accent5"/>
        </w:tcBorders>
        <w:shd w:val="clear" w:color="auto" w:fill="FFFFFF" w:themeFill="background1"/>
      </w:tcPr>
    </w:tblStylePr>
    <w:tblStylePr w:type="band1Vert">
      <w:tblPr/>
      <w:tcPr>
        <w:shd w:val="clear" w:color="auto" w:fill="E3EBEE" w:themeFill="accent5" w:themeFillTint="33"/>
      </w:tcPr>
    </w:tblStylePr>
    <w:tblStylePr w:type="band1Horz">
      <w:tblPr/>
      <w:tcPr>
        <w:shd w:val="clear" w:color="auto" w:fill="E3EB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A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9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9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9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97AD" w:themeFill="accent3"/>
      </w:tcPr>
    </w:tblStylePr>
    <w:tblStylePr w:type="band1Vert">
      <w:tblPr/>
      <w:tcPr>
        <w:shd w:val="clear" w:color="auto" w:fill="C8D5DE" w:themeFill="accent3" w:themeFillTint="66"/>
      </w:tcPr>
    </w:tblStylePr>
    <w:tblStylePr w:type="band1Horz">
      <w:tblPr/>
      <w:tcPr>
        <w:shd w:val="clear" w:color="auto" w:fill="C8D5DE" w:themeFill="accent3" w:themeFillTint="66"/>
      </w:tcPr>
    </w:tblStylePr>
  </w:style>
  <w:style w:type="table" w:customStyle="1" w:styleId="ListTable4-Accent51">
    <w:name w:val="List Table 4 - Accent 51"/>
    <w:basedOn w:val="TableNormal"/>
    <w:uiPriority w:val="49"/>
    <w:pPr>
      <w:spacing w:after="0" w:line="240" w:lineRule="auto"/>
    </w:pPr>
    <w:tblPr>
      <w:tblStyleRowBandSize w:val="1"/>
      <w:tblStyleColBandSize w:val="1"/>
      <w:tblBorders>
        <w:top w:val="single" w:sz="4" w:space="0" w:color="ABC5CD" w:themeColor="accent5" w:themeTint="99"/>
        <w:left w:val="single" w:sz="4" w:space="0" w:color="ABC5CD" w:themeColor="accent5" w:themeTint="99"/>
        <w:bottom w:val="single" w:sz="4" w:space="0" w:color="ABC5CD" w:themeColor="accent5" w:themeTint="99"/>
        <w:right w:val="single" w:sz="4" w:space="0" w:color="ABC5CD" w:themeColor="accent5" w:themeTint="99"/>
        <w:insideH w:val="single" w:sz="4" w:space="0" w:color="ABC5CD" w:themeColor="accent5" w:themeTint="99"/>
      </w:tblBorders>
    </w:tblPr>
    <w:tblStylePr w:type="firstRow">
      <w:rPr>
        <w:b/>
        <w:bCs/>
        <w:color w:val="FFFFFF" w:themeColor="background1"/>
      </w:rPr>
      <w:tblPr/>
      <w:tcPr>
        <w:tcBorders>
          <w:top w:val="single" w:sz="4" w:space="0" w:color="74A0AD" w:themeColor="accent5"/>
          <w:left w:val="single" w:sz="4" w:space="0" w:color="74A0AD" w:themeColor="accent5"/>
          <w:bottom w:val="single" w:sz="4" w:space="0" w:color="74A0AD" w:themeColor="accent5"/>
          <w:right w:val="single" w:sz="4" w:space="0" w:color="74A0AD" w:themeColor="accent5"/>
          <w:insideH w:val="nil"/>
        </w:tcBorders>
        <w:shd w:val="clear" w:color="auto" w:fill="74A0AD" w:themeFill="accent5"/>
      </w:tcPr>
    </w:tblStylePr>
    <w:tblStylePr w:type="lastRow">
      <w:rPr>
        <w:b/>
        <w:bCs/>
      </w:rPr>
      <w:tblPr/>
      <w:tcPr>
        <w:tcBorders>
          <w:top w:val="double" w:sz="4" w:space="0" w:color="ABC5CD" w:themeColor="accent5" w:themeTint="99"/>
        </w:tcBorders>
      </w:tcPr>
    </w:tblStylePr>
    <w:tblStylePr w:type="firstCol">
      <w:rPr>
        <w:b/>
        <w:bCs/>
      </w:rPr>
    </w:tblStylePr>
    <w:tblStylePr w:type="lastCol">
      <w:rPr>
        <w:b/>
        <w:bCs/>
      </w:rPr>
    </w:tblStylePr>
    <w:tblStylePr w:type="band1Vert">
      <w:tblPr/>
      <w:tcPr>
        <w:shd w:val="clear" w:color="auto" w:fill="E3EBEE" w:themeFill="accent5" w:themeFillTint="33"/>
      </w:tcPr>
    </w:tblStylePr>
    <w:tblStylePr w:type="band1Horz">
      <w:tblPr/>
      <w:tcPr>
        <w:shd w:val="clear" w:color="auto" w:fill="E3EBEE" w:themeFill="accent5" w:themeFillTint="33"/>
      </w:tcPr>
    </w:tblStylePr>
  </w:style>
  <w:style w:type="paragraph" w:styleId="Revision">
    <w:name w:val="Revision"/>
    <w:hidden/>
    <w:uiPriority w:val="99"/>
    <w:semiHidden/>
    <w:pPr>
      <w:spacing w:after="0" w:line="240" w:lineRule="auto"/>
    </w:pPr>
    <w:rPr>
      <w:rFonts w:ascii="Arial" w:hAnsi="Arial"/>
      <w:sz w:val="20"/>
      <w:lang w:val="en-GB"/>
    </w:rPr>
  </w:style>
  <w:style w:type="table" w:customStyle="1" w:styleId="PlainTable310">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7Colorful-Accent510">
    <w:name w:val="List Table 7 Colorful - Accent 51"/>
    <w:basedOn w:val="TableNormal"/>
    <w:uiPriority w:val="52"/>
    <w:pPr>
      <w:spacing w:after="0" w:line="240" w:lineRule="auto"/>
    </w:pPr>
    <w:rPr>
      <w:color w:val="507B8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A0A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A0A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A0A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A0AD" w:themeColor="accent5"/>
        </w:tcBorders>
        <w:shd w:val="clear" w:color="auto" w:fill="FFFFFF" w:themeFill="background1"/>
      </w:tcPr>
    </w:tblStylePr>
    <w:tblStylePr w:type="band1Vert">
      <w:tblPr/>
      <w:tcPr>
        <w:shd w:val="clear" w:color="auto" w:fill="E3EBEE" w:themeFill="accent5" w:themeFillTint="33"/>
      </w:tcPr>
    </w:tblStylePr>
    <w:tblStylePr w:type="band1Horz">
      <w:tblPr/>
      <w:tcPr>
        <w:shd w:val="clear" w:color="auto" w:fill="E3EB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C8D5DE" w:themeColor="accent3" w:themeTint="66"/>
        <w:left w:val="single" w:sz="4" w:space="0" w:color="C8D5DE" w:themeColor="accent3" w:themeTint="66"/>
        <w:bottom w:val="single" w:sz="4" w:space="0" w:color="C8D5DE" w:themeColor="accent3" w:themeTint="66"/>
        <w:right w:val="single" w:sz="4" w:space="0" w:color="C8D5DE" w:themeColor="accent3" w:themeTint="66"/>
        <w:insideH w:val="single" w:sz="4" w:space="0" w:color="C8D5DE" w:themeColor="accent3" w:themeTint="66"/>
        <w:insideV w:val="single" w:sz="4" w:space="0" w:color="C8D5DE" w:themeColor="accent3" w:themeTint="66"/>
      </w:tblBorders>
    </w:tblPr>
    <w:tblStylePr w:type="firstRow">
      <w:rPr>
        <w:b/>
        <w:bCs/>
      </w:rPr>
      <w:tblPr/>
      <w:tcPr>
        <w:tcBorders>
          <w:bottom w:val="single" w:sz="12" w:space="0" w:color="ACC0CD" w:themeColor="accent3" w:themeTint="99"/>
        </w:tcBorders>
      </w:tcPr>
    </w:tblStylePr>
    <w:tblStylePr w:type="lastRow">
      <w:rPr>
        <w:b/>
        <w:bCs/>
      </w:rPr>
      <w:tblPr/>
      <w:tcPr>
        <w:tcBorders>
          <w:top w:val="double" w:sz="2" w:space="0" w:color="ACC0CD"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ACC0CD" w:themeColor="accent3" w:themeTint="99"/>
        <w:left w:val="single" w:sz="4" w:space="0" w:color="ACC0CD" w:themeColor="accent3" w:themeTint="99"/>
        <w:bottom w:val="single" w:sz="4" w:space="0" w:color="ACC0CD" w:themeColor="accent3" w:themeTint="99"/>
        <w:right w:val="single" w:sz="4" w:space="0" w:color="ACC0CD" w:themeColor="accent3" w:themeTint="99"/>
        <w:insideH w:val="single" w:sz="4" w:space="0" w:color="ACC0CD" w:themeColor="accent3" w:themeTint="99"/>
        <w:insideV w:val="single" w:sz="4" w:space="0" w:color="ACC0CD" w:themeColor="accent3" w:themeTint="99"/>
      </w:tblBorders>
    </w:tblPr>
    <w:tblStylePr w:type="firstRow">
      <w:rPr>
        <w:b/>
        <w:bCs/>
        <w:color w:val="FFFFFF" w:themeColor="background1"/>
      </w:rPr>
      <w:tblPr/>
      <w:tcPr>
        <w:tcBorders>
          <w:top w:val="single" w:sz="4" w:space="0" w:color="7697AD" w:themeColor="accent3"/>
          <w:left w:val="single" w:sz="4" w:space="0" w:color="7697AD" w:themeColor="accent3"/>
          <w:bottom w:val="single" w:sz="4" w:space="0" w:color="7697AD" w:themeColor="accent3"/>
          <w:right w:val="single" w:sz="4" w:space="0" w:color="7697AD" w:themeColor="accent3"/>
          <w:insideH w:val="nil"/>
          <w:insideV w:val="nil"/>
        </w:tcBorders>
        <w:shd w:val="clear" w:color="auto" w:fill="7697AD" w:themeFill="accent3"/>
      </w:tcPr>
    </w:tblStylePr>
    <w:tblStylePr w:type="lastRow">
      <w:rPr>
        <w:b/>
        <w:bCs/>
      </w:rPr>
      <w:tblPr/>
      <w:tcPr>
        <w:tcBorders>
          <w:top w:val="double" w:sz="4" w:space="0" w:color="7697AD" w:themeColor="accent3"/>
        </w:tcBorders>
      </w:tcPr>
    </w:tblStylePr>
    <w:tblStylePr w:type="firstCol">
      <w:rPr>
        <w:b/>
        <w:bCs/>
      </w:rPr>
    </w:tblStylePr>
    <w:tblStylePr w:type="lastCol">
      <w:rPr>
        <w:b/>
        <w:bCs/>
      </w:rPr>
    </w:tblStylePr>
    <w:tblStylePr w:type="band1Vert">
      <w:tblPr/>
      <w:tcPr>
        <w:shd w:val="clear" w:color="auto" w:fill="E3EAEE" w:themeFill="accent3" w:themeFillTint="33"/>
      </w:tcPr>
    </w:tblStylePr>
    <w:tblStylePr w:type="band1Horz">
      <w:tblPr/>
      <w:tcPr>
        <w:shd w:val="clear" w:color="auto" w:fill="E3EAEE" w:themeFill="accent3" w:themeFillTint="33"/>
      </w:tcPr>
    </w:tblStylePr>
  </w:style>
  <w:style w:type="paragraph" w:styleId="HTMLPreformatted">
    <w:name w:val="HTML Preformatted"/>
    <w:basedOn w:val="Normal"/>
    <w:link w:val="HTMLPreformattedChar"/>
    <w:semiHidden/>
    <w:rPr>
      <w:rFonts w:ascii="Courier New" w:eastAsia="Times New Roman" w:hAnsi="Courier New" w:cs="Courier New"/>
      <w:szCs w:val="20"/>
      <w:lang w:val="en-ZA"/>
    </w:rPr>
  </w:style>
  <w:style w:type="character" w:customStyle="1" w:styleId="HTMLPreformattedChar">
    <w:name w:val="HTML Preformatted Char"/>
    <w:basedOn w:val="DefaultParagraphFont"/>
    <w:link w:val="HTMLPreformatted"/>
    <w:semiHidden/>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5B7447"/>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70">
      <w:bodyDiv w:val="1"/>
      <w:marLeft w:val="0"/>
      <w:marRight w:val="0"/>
      <w:marTop w:val="0"/>
      <w:marBottom w:val="0"/>
      <w:divBdr>
        <w:top w:val="none" w:sz="0" w:space="0" w:color="auto"/>
        <w:left w:val="none" w:sz="0" w:space="0" w:color="auto"/>
        <w:bottom w:val="none" w:sz="0" w:space="0" w:color="auto"/>
        <w:right w:val="none" w:sz="0" w:space="0" w:color="auto"/>
      </w:divBdr>
    </w:div>
    <w:div w:id="9188267">
      <w:bodyDiv w:val="1"/>
      <w:marLeft w:val="0"/>
      <w:marRight w:val="0"/>
      <w:marTop w:val="0"/>
      <w:marBottom w:val="0"/>
      <w:divBdr>
        <w:top w:val="none" w:sz="0" w:space="0" w:color="auto"/>
        <w:left w:val="none" w:sz="0" w:space="0" w:color="auto"/>
        <w:bottom w:val="none" w:sz="0" w:space="0" w:color="auto"/>
        <w:right w:val="none" w:sz="0" w:space="0" w:color="auto"/>
      </w:divBdr>
    </w:div>
    <w:div w:id="20127925">
      <w:bodyDiv w:val="1"/>
      <w:marLeft w:val="0"/>
      <w:marRight w:val="0"/>
      <w:marTop w:val="0"/>
      <w:marBottom w:val="0"/>
      <w:divBdr>
        <w:top w:val="none" w:sz="0" w:space="0" w:color="auto"/>
        <w:left w:val="none" w:sz="0" w:space="0" w:color="auto"/>
        <w:bottom w:val="none" w:sz="0" w:space="0" w:color="auto"/>
        <w:right w:val="none" w:sz="0" w:space="0" w:color="auto"/>
      </w:divBdr>
    </w:div>
    <w:div w:id="23987077">
      <w:bodyDiv w:val="1"/>
      <w:marLeft w:val="0"/>
      <w:marRight w:val="0"/>
      <w:marTop w:val="0"/>
      <w:marBottom w:val="0"/>
      <w:divBdr>
        <w:top w:val="none" w:sz="0" w:space="0" w:color="auto"/>
        <w:left w:val="none" w:sz="0" w:space="0" w:color="auto"/>
        <w:bottom w:val="none" w:sz="0" w:space="0" w:color="auto"/>
        <w:right w:val="none" w:sz="0" w:space="0" w:color="auto"/>
      </w:divBdr>
    </w:div>
    <w:div w:id="72095032">
      <w:bodyDiv w:val="1"/>
      <w:marLeft w:val="0"/>
      <w:marRight w:val="0"/>
      <w:marTop w:val="0"/>
      <w:marBottom w:val="0"/>
      <w:divBdr>
        <w:top w:val="none" w:sz="0" w:space="0" w:color="auto"/>
        <w:left w:val="none" w:sz="0" w:space="0" w:color="auto"/>
        <w:bottom w:val="none" w:sz="0" w:space="0" w:color="auto"/>
        <w:right w:val="none" w:sz="0" w:space="0" w:color="auto"/>
      </w:divBdr>
    </w:div>
    <w:div w:id="431514903">
      <w:bodyDiv w:val="1"/>
      <w:marLeft w:val="0"/>
      <w:marRight w:val="0"/>
      <w:marTop w:val="0"/>
      <w:marBottom w:val="0"/>
      <w:divBdr>
        <w:top w:val="none" w:sz="0" w:space="0" w:color="auto"/>
        <w:left w:val="none" w:sz="0" w:space="0" w:color="auto"/>
        <w:bottom w:val="none" w:sz="0" w:space="0" w:color="auto"/>
        <w:right w:val="none" w:sz="0" w:space="0" w:color="auto"/>
      </w:divBdr>
    </w:div>
    <w:div w:id="472451873">
      <w:bodyDiv w:val="1"/>
      <w:marLeft w:val="0"/>
      <w:marRight w:val="0"/>
      <w:marTop w:val="0"/>
      <w:marBottom w:val="0"/>
      <w:divBdr>
        <w:top w:val="none" w:sz="0" w:space="0" w:color="auto"/>
        <w:left w:val="none" w:sz="0" w:space="0" w:color="auto"/>
        <w:bottom w:val="none" w:sz="0" w:space="0" w:color="auto"/>
        <w:right w:val="none" w:sz="0" w:space="0" w:color="auto"/>
      </w:divBdr>
    </w:div>
    <w:div w:id="561216113">
      <w:bodyDiv w:val="1"/>
      <w:marLeft w:val="0"/>
      <w:marRight w:val="0"/>
      <w:marTop w:val="0"/>
      <w:marBottom w:val="0"/>
      <w:divBdr>
        <w:top w:val="none" w:sz="0" w:space="0" w:color="auto"/>
        <w:left w:val="none" w:sz="0" w:space="0" w:color="auto"/>
        <w:bottom w:val="none" w:sz="0" w:space="0" w:color="auto"/>
        <w:right w:val="none" w:sz="0" w:space="0" w:color="auto"/>
      </w:divBdr>
    </w:div>
    <w:div w:id="565460987">
      <w:bodyDiv w:val="1"/>
      <w:marLeft w:val="0"/>
      <w:marRight w:val="0"/>
      <w:marTop w:val="0"/>
      <w:marBottom w:val="0"/>
      <w:divBdr>
        <w:top w:val="none" w:sz="0" w:space="0" w:color="auto"/>
        <w:left w:val="none" w:sz="0" w:space="0" w:color="auto"/>
        <w:bottom w:val="none" w:sz="0" w:space="0" w:color="auto"/>
        <w:right w:val="none" w:sz="0" w:space="0" w:color="auto"/>
      </w:divBdr>
    </w:div>
    <w:div w:id="665785826">
      <w:bodyDiv w:val="1"/>
      <w:marLeft w:val="0"/>
      <w:marRight w:val="0"/>
      <w:marTop w:val="0"/>
      <w:marBottom w:val="0"/>
      <w:divBdr>
        <w:top w:val="none" w:sz="0" w:space="0" w:color="auto"/>
        <w:left w:val="none" w:sz="0" w:space="0" w:color="auto"/>
        <w:bottom w:val="none" w:sz="0" w:space="0" w:color="auto"/>
        <w:right w:val="none" w:sz="0" w:space="0" w:color="auto"/>
      </w:divBdr>
      <w:divsChild>
        <w:div w:id="2079088497">
          <w:marLeft w:val="547"/>
          <w:marRight w:val="0"/>
          <w:marTop w:val="120"/>
          <w:marBottom w:val="0"/>
          <w:divBdr>
            <w:top w:val="none" w:sz="0" w:space="0" w:color="auto"/>
            <w:left w:val="none" w:sz="0" w:space="0" w:color="auto"/>
            <w:bottom w:val="none" w:sz="0" w:space="0" w:color="auto"/>
            <w:right w:val="none" w:sz="0" w:space="0" w:color="auto"/>
          </w:divBdr>
        </w:div>
        <w:div w:id="1657487901">
          <w:marLeft w:val="547"/>
          <w:marRight w:val="0"/>
          <w:marTop w:val="120"/>
          <w:marBottom w:val="0"/>
          <w:divBdr>
            <w:top w:val="none" w:sz="0" w:space="0" w:color="auto"/>
            <w:left w:val="none" w:sz="0" w:space="0" w:color="auto"/>
            <w:bottom w:val="none" w:sz="0" w:space="0" w:color="auto"/>
            <w:right w:val="none" w:sz="0" w:space="0" w:color="auto"/>
          </w:divBdr>
        </w:div>
        <w:div w:id="330907973">
          <w:marLeft w:val="1166"/>
          <w:marRight w:val="0"/>
          <w:marTop w:val="120"/>
          <w:marBottom w:val="0"/>
          <w:divBdr>
            <w:top w:val="none" w:sz="0" w:space="0" w:color="auto"/>
            <w:left w:val="none" w:sz="0" w:space="0" w:color="auto"/>
            <w:bottom w:val="none" w:sz="0" w:space="0" w:color="auto"/>
            <w:right w:val="none" w:sz="0" w:space="0" w:color="auto"/>
          </w:divBdr>
        </w:div>
        <w:div w:id="1323315886">
          <w:marLeft w:val="1166"/>
          <w:marRight w:val="0"/>
          <w:marTop w:val="120"/>
          <w:marBottom w:val="0"/>
          <w:divBdr>
            <w:top w:val="none" w:sz="0" w:space="0" w:color="auto"/>
            <w:left w:val="none" w:sz="0" w:space="0" w:color="auto"/>
            <w:bottom w:val="none" w:sz="0" w:space="0" w:color="auto"/>
            <w:right w:val="none" w:sz="0" w:space="0" w:color="auto"/>
          </w:divBdr>
        </w:div>
        <w:div w:id="1984969339">
          <w:marLeft w:val="1166"/>
          <w:marRight w:val="0"/>
          <w:marTop w:val="120"/>
          <w:marBottom w:val="0"/>
          <w:divBdr>
            <w:top w:val="none" w:sz="0" w:space="0" w:color="auto"/>
            <w:left w:val="none" w:sz="0" w:space="0" w:color="auto"/>
            <w:bottom w:val="none" w:sz="0" w:space="0" w:color="auto"/>
            <w:right w:val="none" w:sz="0" w:space="0" w:color="auto"/>
          </w:divBdr>
        </w:div>
      </w:divsChild>
    </w:div>
    <w:div w:id="856652029">
      <w:bodyDiv w:val="1"/>
      <w:marLeft w:val="0"/>
      <w:marRight w:val="0"/>
      <w:marTop w:val="0"/>
      <w:marBottom w:val="0"/>
      <w:divBdr>
        <w:top w:val="none" w:sz="0" w:space="0" w:color="auto"/>
        <w:left w:val="none" w:sz="0" w:space="0" w:color="auto"/>
        <w:bottom w:val="none" w:sz="0" w:space="0" w:color="auto"/>
        <w:right w:val="none" w:sz="0" w:space="0" w:color="auto"/>
      </w:divBdr>
    </w:div>
    <w:div w:id="862783384">
      <w:bodyDiv w:val="1"/>
      <w:marLeft w:val="0"/>
      <w:marRight w:val="0"/>
      <w:marTop w:val="0"/>
      <w:marBottom w:val="0"/>
      <w:divBdr>
        <w:top w:val="none" w:sz="0" w:space="0" w:color="auto"/>
        <w:left w:val="none" w:sz="0" w:space="0" w:color="auto"/>
        <w:bottom w:val="none" w:sz="0" w:space="0" w:color="auto"/>
        <w:right w:val="none" w:sz="0" w:space="0" w:color="auto"/>
      </w:divBdr>
    </w:div>
    <w:div w:id="920023431">
      <w:bodyDiv w:val="1"/>
      <w:marLeft w:val="0"/>
      <w:marRight w:val="0"/>
      <w:marTop w:val="0"/>
      <w:marBottom w:val="0"/>
      <w:divBdr>
        <w:top w:val="none" w:sz="0" w:space="0" w:color="auto"/>
        <w:left w:val="none" w:sz="0" w:space="0" w:color="auto"/>
        <w:bottom w:val="none" w:sz="0" w:space="0" w:color="auto"/>
        <w:right w:val="none" w:sz="0" w:space="0" w:color="auto"/>
      </w:divBdr>
      <w:divsChild>
        <w:div w:id="871117328">
          <w:marLeft w:val="274"/>
          <w:marRight w:val="0"/>
          <w:marTop w:val="120"/>
          <w:marBottom w:val="0"/>
          <w:divBdr>
            <w:top w:val="none" w:sz="0" w:space="0" w:color="auto"/>
            <w:left w:val="none" w:sz="0" w:space="0" w:color="auto"/>
            <w:bottom w:val="none" w:sz="0" w:space="0" w:color="auto"/>
            <w:right w:val="none" w:sz="0" w:space="0" w:color="auto"/>
          </w:divBdr>
        </w:div>
        <w:div w:id="1760783947">
          <w:marLeft w:val="274"/>
          <w:marRight w:val="0"/>
          <w:marTop w:val="120"/>
          <w:marBottom w:val="0"/>
          <w:divBdr>
            <w:top w:val="none" w:sz="0" w:space="0" w:color="auto"/>
            <w:left w:val="none" w:sz="0" w:space="0" w:color="auto"/>
            <w:bottom w:val="none" w:sz="0" w:space="0" w:color="auto"/>
            <w:right w:val="none" w:sz="0" w:space="0" w:color="auto"/>
          </w:divBdr>
        </w:div>
        <w:div w:id="897932075">
          <w:marLeft w:val="274"/>
          <w:marRight w:val="0"/>
          <w:marTop w:val="120"/>
          <w:marBottom w:val="0"/>
          <w:divBdr>
            <w:top w:val="none" w:sz="0" w:space="0" w:color="auto"/>
            <w:left w:val="none" w:sz="0" w:space="0" w:color="auto"/>
            <w:bottom w:val="none" w:sz="0" w:space="0" w:color="auto"/>
            <w:right w:val="none" w:sz="0" w:space="0" w:color="auto"/>
          </w:divBdr>
        </w:div>
      </w:divsChild>
    </w:div>
    <w:div w:id="1034620385">
      <w:bodyDiv w:val="1"/>
      <w:marLeft w:val="0"/>
      <w:marRight w:val="0"/>
      <w:marTop w:val="0"/>
      <w:marBottom w:val="0"/>
      <w:divBdr>
        <w:top w:val="none" w:sz="0" w:space="0" w:color="auto"/>
        <w:left w:val="none" w:sz="0" w:space="0" w:color="auto"/>
        <w:bottom w:val="none" w:sz="0" w:space="0" w:color="auto"/>
        <w:right w:val="none" w:sz="0" w:space="0" w:color="auto"/>
      </w:divBdr>
    </w:div>
    <w:div w:id="1044018054">
      <w:bodyDiv w:val="1"/>
      <w:marLeft w:val="0"/>
      <w:marRight w:val="0"/>
      <w:marTop w:val="0"/>
      <w:marBottom w:val="0"/>
      <w:divBdr>
        <w:top w:val="none" w:sz="0" w:space="0" w:color="auto"/>
        <w:left w:val="none" w:sz="0" w:space="0" w:color="auto"/>
        <w:bottom w:val="none" w:sz="0" w:space="0" w:color="auto"/>
        <w:right w:val="none" w:sz="0" w:space="0" w:color="auto"/>
      </w:divBdr>
      <w:divsChild>
        <w:div w:id="552280140">
          <w:marLeft w:val="360"/>
          <w:marRight w:val="0"/>
          <w:marTop w:val="120"/>
          <w:marBottom w:val="0"/>
          <w:divBdr>
            <w:top w:val="none" w:sz="0" w:space="0" w:color="auto"/>
            <w:left w:val="none" w:sz="0" w:space="0" w:color="auto"/>
            <w:bottom w:val="none" w:sz="0" w:space="0" w:color="auto"/>
            <w:right w:val="none" w:sz="0" w:space="0" w:color="auto"/>
          </w:divBdr>
        </w:div>
        <w:div w:id="1920752293">
          <w:marLeft w:val="360"/>
          <w:marRight w:val="0"/>
          <w:marTop w:val="120"/>
          <w:marBottom w:val="0"/>
          <w:divBdr>
            <w:top w:val="none" w:sz="0" w:space="0" w:color="auto"/>
            <w:left w:val="none" w:sz="0" w:space="0" w:color="auto"/>
            <w:bottom w:val="none" w:sz="0" w:space="0" w:color="auto"/>
            <w:right w:val="none" w:sz="0" w:space="0" w:color="auto"/>
          </w:divBdr>
        </w:div>
        <w:div w:id="1071660520">
          <w:marLeft w:val="360"/>
          <w:marRight w:val="0"/>
          <w:marTop w:val="120"/>
          <w:marBottom w:val="0"/>
          <w:divBdr>
            <w:top w:val="none" w:sz="0" w:space="0" w:color="auto"/>
            <w:left w:val="none" w:sz="0" w:space="0" w:color="auto"/>
            <w:bottom w:val="none" w:sz="0" w:space="0" w:color="auto"/>
            <w:right w:val="none" w:sz="0" w:space="0" w:color="auto"/>
          </w:divBdr>
        </w:div>
        <w:div w:id="326523672">
          <w:marLeft w:val="360"/>
          <w:marRight w:val="0"/>
          <w:marTop w:val="120"/>
          <w:marBottom w:val="0"/>
          <w:divBdr>
            <w:top w:val="none" w:sz="0" w:space="0" w:color="auto"/>
            <w:left w:val="none" w:sz="0" w:space="0" w:color="auto"/>
            <w:bottom w:val="none" w:sz="0" w:space="0" w:color="auto"/>
            <w:right w:val="none" w:sz="0" w:space="0" w:color="auto"/>
          </w:divBdr>
        </w:div>
      </w:divsChild>
    </w:div>
    <w:div w:id="1098404399">
      <w:bodyDiv w:val="1"/>
      <w:marLeft w:val="0"/>
      <w:marRight w:val="0"/>
      <w:marTop w:val="0"/>
      <w:marBottom w:val="0"/>
      <w:divBdr>
        <w:top w:val="none" w:sz="0" w:space="0" w:color="auto"/>
        <w:left w:val="none" w:sz="0" w:space="0" w:color="auto"/>
        <w:bottom w:val="none" w:sz="0" w:space="0" w:color="auto"/>
        <w:right w:val="none" w:sz="0" w:space="0" w:color="auto"/>
      </w:divBdr>
    </w:div>
    <w:div w:id="1166895287">
      <w:bodyDiv w:val="1"/>
      <w:marLeft w:val="0"/>
      <w:marRight w:val="0"/>
      <w:marTop w:val="0"/>
      <w:marBottom w:val="0"/>
      <w:divBdr>
        <w:top w:val="none" w:sz="0" w:space="0" w:color="auto"/>
        <w:left w:val="none" w:sz="0" w:space="0" w:color="auto"/>
        <w:bottom w:val="none" w:sz="0" w:space="0" w:color="auto"/>
        <w:right w:val="none" w:sz="0" w:space="0" w:color="auto"/>
      </w:divBdr>
    </w:div>
    <w:div w:id="1202593680">
      <w:bodyDiv w:val="1"/>
      <w:marLeft w:val="0"/>
      <w:marRight w:val="0"/>
      <w:marTop w:val="0"/>
      <w:marBottom w:val="0"/>
      <w:divBdr>
        <w:top w:val="none" w:sz="0" w:space="0" w:color="auto"/>
        <w:left w:val="none" w:sz="0" w:space="0" w:color="auto"/>
        <w:bottom w:val="none" w:sz="0" w:space="0" w:color="auto"/>
        <w:right w:val="none" w:sz="0" w:space="0" w:color="auto"/>
      </w:divBdr>
    </w:div>
    <w:div w:id="1293904393">
      <w:bodyDiv w:val="1"/>
      <w:marLeft w:val="0"/>
      <w:marRight w:val="0"/>
      <w:marTop w:val="0"/>
      <w:marBottom w:val="0"/>
      <w:divBdr>
        <w:top w:val="none" w:sz="0" w:space="0" w:color="auto"/>
        <w:left w:val="none" w:sz="0" w:space="0" w:color="auto"/>
        <w:bottom w:val="none" w:sz="0" w:space="0" w:color="auto"/>
        <w:right w:val="none" w:sz="0" w:space="0" w:color="auto"/>
      </w:divBdr>
    </w:div>
    <w:div w:id="1622565573">
      <w:bodyDiv w:val="1"/>
      <w:marLeft w:val="0"/>
      <w:marRight w:val="0"/>
      <w:marTop w:val="0"/>
      <w:marBottom w:val="0"/>
      <w:divBdr>
        <w:top w:val="none" w:sz="0" w:space="0" w:color="auto"/>
        <w:left w:val="none" w:sz="0" w:space="0" w:color="auto"/>
        <w:bottom w:val="none" w:sz="0" w:space="0" w:color="auto"/>
        <w:right w:val="none" w:sz="0" w:space="0" w:color="auto"/>
      </w:divBdr>
    </w:div>
    <w:div w:id="1629749395">
      <w:bodyDiv w:val="1"/>
      <w:marLeft w:val="0"/>
      <w:marRight w:val="0"/>
      <w:marTop w:val="0"/>
      <w:marBottom w:val="0"/>
      <w:divBdr>
        <w:top w:val="none" w:sz="0" w:space="0" w:color="auto"/>
        <w:left w:val="none" w:sz="0" w:space="0" w:color="auto"/>
        <w:bottom w:val="none" w:sz="0" w:space="0" w:color="auto"/>
        <w:right w:val="none" w:sz="0" w:space="0" w:color="auto"/>
      </w:divBdr>
    </w:div>
    <w:div w:id="1801798577">
      <w:bodyDiv w:val="1"/>
      <w:marLeft w:val="0"/>
      <w:marRight w:val="0"/>
      <w:marTop w:val="0"/>
      <w:marBottom w:val="0"/>
      <w:divBdr>
        <w:top w:val="none" w:sz="0" w:space="0" w:color="auto"/>
        <w:left w:val="none" w:sz="0" w:space="0" w:color="auto"/>
        <w:bottom w:val="none" w:sz="0" w:space="0" w:color="auto"/>
        <w:right w:val="none" w:sz="0" w:space="0" w:color="auto"/>
      </w:divBdr>
    </w:div>
    <w:div w:id="1825048517">
      <w:bodyDiv w:val="1"/>
      <w:marLeft w:val="0"/>
      <w:marRight w:val="0"/>
      <w:marTop w:val="0"/>
      <w:marBottom w:val="0"/>
      <w:divBdr>
        <w:top w:val="none" w:sz="0" w:space="0" w:color="auto"/>
        <w:left w:val="none" w:sz="0" w:space="0" w:color="auto"/>
        <w:bottom w:val="none" w:sz="0" w:space="0" w:color="auto"/>
        <w:right w:val="none" w:sz="0" w:space="0" w:color="auto"/>
      </w:divBdr>
    </w:div>
    <w:div w:id="1943998171">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80977320">
      <w:bodyDiv w:val="1"/>
      <w:marLeft w:val="0"/>
      <w:marRight w:val="0"/>
      <w:marTop w:val="0"/>
      <w:marBottom w:val="0"/>
      <w:divBdr>
        <w:top w:val="none" w:sz="0" w:space="0" w:color="auto"/>
        <w:left w:val="none" w:sz="0" w:space="0" w:color="auto"/>
        <w:bottom w:val="none" w:sz="0" w:space="0" w:color="auto"/>
        <w:right w:val="none" w:sz="0" w:space="0" w:color="auto"/>
      </w:divBdr>
      <w:divsChild>
        <w:div w:id="1243638996">
          <w:marLeft w:val="547"/>
          <w:marRight w:val="0"/>
          <w:marTop w:val="120"/>
          <w:marBottom w:val="0"/>
          <w:divBdr>
            <w:top w:val="none" w:sz="0" w:space="0" w:color="auto"/>
            <w:left w:val="none" w:sz="0" w:space="0" w:color="auto"/>
            <w:bottom w:val="none" w:sz="0" w:space="0" w:color="auto"/>
            <w:right w:val="none" w:sz="0" w:space="0" w:color="auto"/>
          </w:divBdr>
        </w:div>
        <w:div w:id="58019636">
          <w:marLeft w:val="547"/>
          <w:marRight w:val="0"/>
          <w:marTop w:val="120"/>
          <w:marBottom w:val="0"/>
          <w:divBdr>
            <w:top w:val="none" w:sz="0" w:space="0" w:color="auto"/>
            <w:left w:val="none" w:sz="0" w:space="0" w:color="auto"/>
            <w:bottom w:val="none" w:sz="0" w:space="0" w:color="auto"/>
            <w:right w:val="none" w:sz="0" w:space="0" w:color="auto"/>
          </w:divBdr>
        </w:div>
        <w:div w:id="1870489425">
          <w:marLeft w:val="547"/>
          <w:marRight w:val="0"/>
          <w:marTop w:val="120"/>
          <w:marBottom w:val="0"/>
          <w:divBdr>
            <w:top w:val="none" w:sz="0" w:space="0" w:color="auto"/>
            <w:left w:val="none" w:sz="0" w:space="0" w:color="auto"/>
            <w:bottom w:val="none" w:sz="0" w:space="0" w:color="auto"/>
            <w:right w:val="none" w:sz="0" w:space="0" w:color="auto"/>
          </w:divBdr>
        </w:div>
        <w:div w:id="1187866449">
          <w:marLeft w:val="547"/>
          <w:marRight w:val="0"/>
          <w:marTop w:val="120"/>
          <w:marBottom w:val="0"/>
          <w:divBdr>
            <w:top w:val="none" w:sz="0" w:space="0" w:color="auto"/>
            <w:left w:val="none" w:sz="0" w:space="0" w:color="auto"/>
            <w:bottom w:val="none" w:sz="0" w:space="0" w:color="auto"/>
            <w:right w:val="none" w:sz="0" w:space="0" w:color="auto"/>
          </w:divBdr>
        </w:div>
        <w:div w:id="944927433">
          <w:marLeft w:val="547"/>
          <w:marRight w:val="0"/>
          <w:marTop w:val="120"/>
          <w:marBottom w:val="0"/>
          <w:divBdr>
            <w:top w:val="none" w:sz="0" w:space="0" w:color="auto"/>
            <w:left w:val="none" w:sz="0" w:space="0" w:color="auto"/>
            <w:bottom w:val="none" w:sz="0" w:space="0" w:color="auto"/>
            <w:right w:val="none" w:sz="0" w:space="0" w:color="auto"/>
          </w:divBdr>
        </w:div>
        <w:div w:id="522404305">
          <w:marLeft w:val="547"/>
          <w:marRight w:val="0"/>
          <w:marTop w:val="120"/>
          <w:marBottom w:val="0"/>
          <w:divBdr>
            <w:top w:val="none" w:sz="0" w:space="0" w:color="auto"/>
            <w:left w:val="none" w:sz="0" w:space="0" w:color="auto"/>
            <w:bottom w:val="none" w:sz="0" w:space="0" w:color="auto"/>
            <w:right w:val="none" w:sz="0" w:space="0" w:color="auto"/>
          </w:divBdr>
        </w:div>
        <w:div w:id="178896168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FirstRand CI colours">
      <a:dk1>
        <a:sysClr val="windowText" lastClr="000000"/>
      </a:dk1>
      <a:lt1>
        <a:srgbClr val="FFFFFF"/>
      </a:lt1>
      <a:dk2>
        <a:srgbClr val="7C7680"/>
      </a:dk2>
      <a:lt2>
        <a:srgbClr val="002851"/>
      </a:lt2>
      <a:accent1>
        <a:srgbClr val="FDE866"/>
      </a:accent1>
      <a:accent2>
        <a:srgbClr val="ADA696"/>
      </a:accent2>
      <a:accent3>
        <a:srgbClr val="7697AD"/>
      </a:accent3>
      <a:accent4>
        <a:srgbClr val="D7D7B4"/>
      </a:accent4>
      <a:accent5>
        <a:srgbClr val="74A0AD"/>
      </a:accent5>
      <a:accent6>
        <a:srgbClr val="92A476"/>
      </a:accent6>
      <a:hlink>
        <a:srgbClr val="8C9691"/>
      </a:hlink>
      <a:folHlink>
        <a:srgbClr val="A0002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060A39064DD54EA3688AC08B422C67" ma:contentTypeVersion="2" ma:contentTypeDescription="Create a new document." ma:contentTypeScope="" ma:versionID="0f9cdc9c245f2db52ce91b32116a0965">
  <xsd:schema xmlns:xsd="http://www.w3.org/2001/XMLSchema" xmlns:xs="http://www.w3.org/2001/XMLSchema" xmlns:p="http://schemas.microsoft.com/office/2006/metadata/properties" xmlns:ns2="3e085e70-aca4-491a-bd75-11bf62ba9732" xmlns:ns3="4c9bbed1-eabc-44f1-a813-ffcde6033edc" targetNamespace="http://schemas.microsoft.com/office/2006/metadata/properties" ma:root="true" ma:fieldsID="32fc807960684e66c74541935cc1324f" ns2:_="" ns3:_="">
    <xsd:import namespace="3e085e70-aca4-491a-bd75-11bf62ba9732"/>
    <xsd:import namespace="4c9bbed1-eabc-44f1-a813-ffcde6033edc"/>
    <xsd:element name="properties">
      <xsd:complexType>
        <xsd:sequence>
          <xsd:element name="documentManagement">
            <xsd:complexType>
              <xsd:all>
                <xsd:element ref="ns2:Business_x0020_Unit" minOccurs="0"/>
                <xsd:element ref="ns2:Template_x0020_Type" minOccurs="0"/>
                <xsd:element ref="ns3:Template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85e70-aca4-491a-bd75-11bf62ba9732" elementFormDefault="qualified">
    <xsd:import namespace="http://schemas.microsoft.com/office/2006/documentManagement/types"/>
    <xsd:import namespace="http://schemas.microsoft.com/office/infopath/2007/PartnerControls"/>
    <xsd:element name="Business_x0020_Unit" ma:index="8" nillable="true" ma:displayName="Business Unit" ma:default="Company Secretary" ma:format="Dropdown" ma:internalName="Business_x0020_Unit">
      <xsd:simpleType>
        <xsd:restriction base="dms:Choice">
          <xsd:enumeration value="Company Secretary"/>
          <xsd:enumeration value="Direct Tax"/>
          <xsd:enumeration value="Employee Tax &amp; Benefits"/>
          <xsd:enumeration value="Enterprise Risk Management"/>
          <xsd:enumeration value="FirstRand Bank Holdings"/>
          <xsd:enumeration value="FirstRand Limited and FirstRand Bank"/>
          <xsd:enumeration value="FirstRand letterheads for staff based at BankCity"/>
          <xsd:enumeration value="FirstRand Finance Company"/>
          <xsd:enumeration value="FirstRand Private Wealth Management"/>
          <xsd:enumeration value="Group Finance"/>
          <xsd:enumeration value="Group Procurement"/>
          <xsd:enumeration value="Group Tax Services"/>
          <xsd:enumeration value="Group Treasury"/>
          <xsd:enumeration value="Human Resources - Bank City"/>
          <xsd:enumeration value="Human Resources - Merchant Place"/>
          <xsd:enumeration value="Indirect Tax"/>
          <xsd:enumeration value="Internal Audit"/>
          <xsd:enumeration value="Internal Audit - 4 Merchant Place"/>
          <xsd:enumeration value="Internal Audit - Bank City"/>
          <xsd:enumeration value="Legal Services"/>
          <xsd:enumeration value="People Governance"/>
          <xsd:enumeration value="Regulatory Reporting"/>
          <xsd:enumeration value="Regulatory Risk Management"/>
          <xsd:enumeration value="Tax Compliance"/>
          <xsd:enumeration value="Tax Risk Management"/>
          <xsd:enumeration value="Group Ethics Office"/>
          <xsd:enumeration value="FirstRand Group Tax"/>
          <xsd:enumeration value="FirstRand Internal Audit"/>
          <xsd:enumeration value="FirstRand Human Resources"/>
        </xsd:restriction>
      </xsd:simpleType>
    </xsd:element>
    <xsd:element name="Template_x0020_Type" ma:index="9" nillable="true" ma:displayName="Template Type" ma:default="Fax" ma:format="Dropdown" ma:internalName="Template_x0020_Type">
      <xsd:simpleType>
        <xsd:restriction base="dms:Choice">
          <xsd:enumeration value="Fax"/>
          <xsd:enumeration value="Letterhead"/>
        </xsd:restriction>
      </xsd:simpleType>
    </xsd:element>
  </xsd:schema>
  <xsd:schema xmlns:xsd="http://www.w3.org/2001/XMLSchema" xmlns:xs="http://www.w3.org/2001/XMLSchema" xmlns:dms="http://schemas.microsoft.com/office/2006/documentManagement/types" xmlns:pc="http://schemas.microsoft.com/office/infopath/2007/PartnerControls" targetNamespace="4c9bbed1-eabc-44f1-a813-ffcde6033edc" elementFormDefault="qualified">
    <xsd:import namespace="http://schemas.microsoft.com/office/2006/documentManagement/types"/>
    <xsd:import namespace="http://schemas.microsoft.com/office/infopath/2007/PartnerControls"/>
    <xsd:element name="Template_x0020_Category" ma:index="10" nillable="true" ma:displayName="Template Category" ma:default="General Guidelines" ma:format="Dropdown" ma:internalName="Template_x0020_Category">
      <xsd:simpleType>
        <xsd:restriction base="dms:Choice">
          <xsd:enumeration value="General Guidelines"/>
          <xsd:enumeration value="FirstRand Corporate Stationery"/>
          <xsd:enumeration value="Official FirstRand and FCC document and presentation templates"/>
          <xsd:enumeration value="FirstRand and FCC meeting pack templates"/>
          <xsd:enumeration value="Order Forms For Business Cards"/>
          <xsd:enumeration value="FirstRand letterhead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mplate_x0020_Category xmlns="4c9bbed1-eabc-44f1-a813-ffcde6033edc">Official FirstRand and FCC document and presentation templates</Template_x0020_Category>
    <Business_x0020_Unit xmlns="3e085e70-aca4-491a-bd75-11bf62ba9732">FirstRand Limited and FirstRand Bank</Business_x0020_Unit>
    <Template_x0020_Type xmlns="3e085e70-aca4-491a-bd75-11bf62ba9732">Letterhead</Template_x0020_Typ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65700-44CD-4F62-A7FB-746C32160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85e70-aca4-491a-bd75-11bf62ba9732"/>
    <ds:schemaRef ds:uri="4c9bbed1-eabc-44f1-a813-ffcde6033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DEDB36-80F1-4D1E-BCE8-976E1A8B187E}">
  <ds:schemaRefs>
    <ds:schemaRef ds:uri="http://schemas.microsoft.com/office/infopath/2007/PartnerControls"/>
    <ds:schemaRef ds:uri="http://purl.org/dc/elements/1.1/"/>
    <ds:schemaRef ds:uri="http://schemas.microsoft.com/office/2006/metadata/properties"/>
    <ds:schemaRef ds:uri="3e085e70-aca4-491a-bd75-11bf62ba9732"/>
    <ds:schemaRef ds:uri="http://purl.org/dc/terms/"/>
    <ds:schemaRef ds:uri="http://schemas.openxmlformats.org/package/2006/metadata/core-properties"/>
    <ds:schemaRef ds:uri="http://schemas.microsoft.com/office/2006/documentManagement/types"/>
    <ds:schemaRef ds:uri="4c9bbed1-eabc-44f1-a813-ffcde6033edc"/>
    <ds:schemaRef ds:uri="http://www.w3.org/XML/1998/namespace"/>
    <ds:schemaRef ds:uri="http://purl.org/dc/dcmitype/"/>
  </ds:schemaRefs>
</ds:datastoreItem>
</file>

<file path=customXml/itemProps3.xml><?xml version="1.0" encoding="utf-8"?>
<ds:datastoreItem xmlns:ds="http://schemas.openxmlformats.org/officeDocument/2006/customXml" ds:itemID="{F2309E12-69A0-634C-956D-FE88E4CCF9E6}">
  <ds:schemaRefs>
    <ds:schemaRef ds:uri="http://schemas.openxmlformats.org/officeDocument/2006/bibliography"/>
  </ds:schemaRefs>
</ds:datastoreItem>
</file>

<file path=customXml/itemProps4.xml><?xml version="1.0" encoding="utf-8"?>
<ds:datastoreItem xmlns:ds="http://schemas.openxmlformats.org/officeDocument/2006/customXml" ds:itemID="{53C9922B-95DC-47D3-897B-4156A996F1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Safari Treasury DD</vt:lpstr>
    </vt:vector>
  </TitlesOfParts>
  <Company>FirstRand</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Safari Treasury DD</dc:title>
  <dc:subject/>
  <dc:creator>Dinesh Fakir</dc:creator>
  <cp:keywords/>
  <dc:description/>
  <cp:lastModifiedBy>Kgarimetsa, Bruce</cp:lastModifiedBy>
  <cp:revision>2</cp:revision>
  <cp:lastPrinted>2019-07-09T17:06:00Z</cp:lastPrinted>
  <dcterms:created xsi:type="dcterms:W3CDTF">2021-02-26T09:56:00Z</dcterms:created>
  <dcterms:modified xsi:type="dcterms:W3CDTF">2021-02-26T09:56:00Z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0x010100B5060A39064DD54EA3688AC08B422C67</vt:lpwstr>
  </property>
  <property fmtid="{D5CDD505-2E9C-101B-9397-08002B2CF9AE}" pid="3" name="Plato EditorId">
    <vt:lpwstr>4ea7b812-4eeb-4f01-ab2d-b845b20ce1de</vt:lpwstr>
  </property>
  <property fmtid="{D5CDD505-2E9C-101B-9397-08002B2CF9AE}" pid="4" name="MSIP_Label_216eec4e-c7b8-491d-b7d8-90a69632743d_Enabled">
    <vt:lpwstr>True</vt:lpwstr>
  </property>
  <property fmtid="{D5CDD505-2E9C-101B-9397-08002B2CF9AE}" pid="5" name="MSIP_Label_216eec4e-c7b8-491d-b7d8-90a69632743d_SiteId">
    <vt:lpwstr>4032514a-830a-4f20-9539-81bbc35b3cd9</vt:lpwstr>
  </property>
  <property fmtid="{D5CDD505-2E9C-101B-9397-08002B2CF9AE}" pid="6" name="MSIP_Label_216eec4e-c7b8-491d-b7d8-90a69632743d_Owner">
    <vt:lpwstr>F5172993@FNB.CO.ZA</vt:lpwstr>
  </property>
  <property fmtid="{D5CDD505-2E9C-101B-9397-08002B2CF9AE}" pid="7" name="MSIP_Label_216eec4e-c7b8-491d-b7d8-90a69632743d_SetDate">
    <vt:lpwstr>2021-02-26T09:56:02.6240056Z</vt:lpwstr>
  </property>
  <property fmtid="{D5CDD505-2E9C-101B-9397-08002B2CF9AE}" pid="8" name="MSIP_Label_216eec4e-c7b8-491d-b7d8-90a69632743d_Name">
    <vt:lpwstr>Confidential</vt:lpwstr>
  </property>
  <property fmtid="{D5CDD505-2E9C-101B-9397-08002B2CF9AE}" pid="9" name="MSIP_Label_216eec4e-c7b8-491d-b7d8-90a69632743d_Application">
    <vt:lpwstr>Microsoft Azure Information Protection</vt:lpwstr>
  </property>
  <property fmtid="{D5CDD505-2E9C-101B-9397-08002B2CF9AE}" pid="10" name="MSIP_Label_216eec4e-c7b8-491d-b7d8-90a69632743d_ActionId">
    <vt:lpwstr>e6f6756a-9389-474f-a86d-fe2324a543b3</vt:lpwstr>
  </property>
  <property fmtid="{D5CDD505-2E9C-101B-9397-08002B2CF9AE}" pid="11" name="MSIP_Label_216eec4e-c7b8-491d-b7d8-90a69632743d_Extended_MSFT_Method">
    <vt:lpwstr>Automatic</vt:lpwstr>
  </property>
  <property fmtid="{D5CDD505-2E9C-101B-9397-08002B2CF9AE}" pid="12" name="Sensitivity">
    <vt:lpwstr>Confidential</vt:lpwstr>
  </property>
</Properties>
</file>