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基于等级保护梳理服务器安全合规基线</w:t>
      </w:r>
    </w:p>
    <w:p>
      <w:pPr>
        <w:spacing w:after="50" w:line="360" w:lineRule="auto" w:beforeLines="100"/>
        <w:ind w:left="0"/>
        <w:jc w:val="left"/>
      </w:pPr>
      <w:bookmarkStart w:name="u239035a3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基于等级保护梳理服务器安全合规基线 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s?__biz=MzA4ODQwMDg1NQ==&amp;mid=2247488979&amp;idx=1&amp;sn=1ac212b830d702916529d2d145d86bf6&amp;chksm=902be36ba75c6a7d92d6490d080a4818b873f047900c66169b09718014c6f4d07346891c36a3&amp;scene=21#wechat_redirec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