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利润宝 · 产品需求文档（PRD）</w:t>
      </w:r>
    </w:p>
    <w:p>
      <w:r>
        <w:rPr>
          <w:b w:val="0"/>
          <w:i/>
          <w:sz w:val="18"/>
        </w:rPr>
        <w:t>版本：v1.0（MVP 已落地，本文档基于已验证闭环整理）</w:t>
      </w:r>
    </w:p>
    <w:p>
      <w:r>
        <w:rPr>
          <w:b w:val="0"/>
          <w:i w:val="0"/>
          <w:color w:val="6E6E6E"/>
          <w:sz w:val="18"/>
        </w:rPr>
        <w:t>适用读者：产品、技术负责人、设计师、测试、代账业务负责人</w:t>
      </w:r>
    </w:p>
    <w:p>
      <w:r>
        <w:rPr>
          <w:b w:val="0"/>
          <w:i w:val="0"/>
          <w:color w:val="6E6E6E"/>
          <w:sz w:val="18"/>
        </w:rPr>
        <w:t>状态：评审稿 | 提交评审：建议分配给技术负责人、设计师、测试同学</w:t>
      </w:r>
    </w:p>
    <w:p>
      <w:pPr>
        <w:pStyle w:val="Heading1"/>
      </w:pPr>
      <w:r>
        <w:t>一、背景</w:t>
      </w:r>
    </w:p>
    <w:p>
      <w:r>
        <w:rPr>
          <w:b w:val="0"/>
          <w:i w:val="0"/>
        </w:rPr>
        <w:t>财税/代账机构在服务客户企业时，需要基于企业财报做税负率诊断与成本费用结构分析，并给出合规的优化建议。当前痛点：</w:t>
      </w:r>
    </w:p>
    <w:p>
      <w:pPr>
        <w:pStyle w:val="ListBullet"/>
      </w:pPr>
      <w:r>
        <w:t>手工分析依赖顾问个人经验，耗时长、口径不统一，难以批量服务多客户；</w:t>
      </w:r>
    </w:p>
    <w:p>
      <w:pPr>
        <w:pStyle w:val="ListBullet"/>
      </w:pPr>
      <w:r>
        <w:t>税负率、成本结构与行业基准的对标缺乏系统化工具，容易遗漏（如研发费用未归集、福利/教育经费限额未用足）；</w:t>
      </w:r>
    </w:p>
    <w:p>
      <w:pPr>
        <w:pStyle w:val="ListBullet"/>
      </w:pPr>
      <w:r>
        <w:t>优化建议多为一次性结论，缺乏与客户战略意图的互动、缺乏落地跟踪；</w:t>
      </w:r>
    </w:p>
    <w:p>
      <w:pPr>
        <w:pStyle w:val="ListBullet"/>
      </w:pPr>
      <w:r>
        <w:t>客户对'该有没的、可有可没有'的费用结构缺乏直观认知，方案难被采信与执行。</w:t>
      </w:r>
    </w:p>
    <w:p>
      <w:r>
        <w:rPr>
          <w:b w:val="0"/>
          <w:i w:val="0"/>
        </w:rPr>
        <w:t>利润宝的目标：以本地桌面应用为载体，导入企业近三年财报与科目余额表，自动完成行业对标诊断，并通过多轮 AI 互动（每轮 3 个选项）收敛出可落地的优化方案，一键产出交付物。数据本地处理，契合代账机构对客户敏感财务数据的合规要求。</w:t>
      </w:r>
    </w:p>
    <w:p>
      <w:pPr>
        <w:pStyle w:val="Heading1"/>
      </w:pPr>
      <w:r>
        <w:t>二、目标</w:t>
      </w:r>
    </w:p>
    <w:p>
      <w:pPr>
        <w:pStyle w:val="Heading2"/>
      </w:pPr>
      <w:r>
        <w:t>2.1 产品目标</w:t>
      </w:r>
    </w:p>
    <w:p>
      <w:pPr>
        <w:pStyle w:val="ListBullet"/>
      </w:pPr>
      <w:r>
        <w:t>把'财报诊断 + 成本优化建议'标准化、可复用，降低对资深顾问的依赖；</w:t>
      </w:r>
    </w:p>
    <w:p>
      <w:pPr>
        <w:pStyle w:val="ListBullet"/>
      </w:pPr>
      <w:r>
        <w:t>通过多轮互动把客户战略意图纳入方案，提升方案可信度与落地率；</w:t>
      </w:r>
    </w:p>
    <w:p>
      <w:pPr>
        <w:pStyle w:val="ListBullet"/>
      </w:pPr>
      <w:r>
        <w:t>交付物（报告+测算模型）可直接用于客户沟通与逐月跟踪。</w:t>
      </w:r>
    </w:p>
    <w:p>
      <w:pPr>
        <w:pStyle w:val="Heading2"/>
      </w:pPr>
      <w:r>
        <w:t>2.2 业务目标</w:t>
      </w:r>
    </w:p>
    <w:p>
      <w:pPr>
        <w:pStyle w:val="ListBullet"/>
      </w:pPr>
      <w:r>
        <w:t>提升单顾问服务客户的数量与客单价；</w:t>
      </w:r>
    </w:p>
    <w:p>
      <w:pPr>
        <w:pStyle w:val="ListBullet"/>
      </w:pPr>
      <w:r>
        <w:t>沉淀行业基准与历史方案，形成机构知识资产。</w:t>
      </w:r>
    </w:p>
    <w:p>
      <w:pPr>
        <w:pStyle w:val="Heading2"/>
      </w:pPr>
      <w:r>
        <w:t>2.3 成功指标（北极星与过程指标）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744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3744"/>
          </w:tcPr>
          <w:p>
            <w:r>
              <w:rPr>
                <w:b/>
              </w:rPr>
              <w:t>目标（建议）</w:t>
            </w:r>
          </w:p>
        </w:tc>
      </w:tr>
      <w:tr>
        <w:tc>
          <w:tcPr>
            <w:tcW w:type="dxa" w:w="2592"/>
          </w:tcPr>
          <w:p>
            <w:r>
              <w:t>单客户诊断耗时</w:t>
            </w:r>
          </w:p>
        </w:tc>
        <w:tc>
          <w:tcPr>
            <w:tcW w:type="dxa" w:w="3744"/>
          </w:tcPr>
          <w:p>
            <w:r>
              <w:t>从导入到出方案</w:t>
            </w:r>
          </w:p>
        </w:tc>
        <w:tc>
          <w:tcPr>
            <w:tcW w:type="dxa" w:w="3744"/>
          </w:tcPr>
          <w:p>
            <w:r>
              <w:t>≤ 5 分钟（MVP 实测可达成）</w:t>
            </w:r>
          </w:p>
        </w:tc>
      </w:tr>
      <w:tr>
        <w:tc>
          <w:tcPr>
            <w:tcW w:type="dxa" w:w="2592"/>
          </w:tcPr>
          <w:p>
            <w:r>
              <w:t>方案落地率</w:t>
            </w:r>
          </w:p>
        </w:tc>
        <w:tc>
          <w:tcPr>
            <w:tcW w:type="dxa" w:w="3744"/>
          </w:tcPr>
          <w:p>
            <w:r>
              <w:t>客户确认执行/实际采纳</w:t>
            </w:r>
          </w:p>
        </w:tc>
        <w:tc>
          <w:tcPr>
            <w:tcW w:type="dxa" w:w="3744"/>
          </w:tcPr>
          <w:p>
            <w:r>
              <w:t>≥ 60%</w:t>
            </w:r>
          </w:p>
        </w:tc>
      </w:tr>
      <w:tr>
        <w:tc>
          <w:tcPr>
            <w:tcW w:type="dxa" w:w="2592"/>
          </w:tcPr>
          <w:p>
            <w:r>
              <w:t>可节税测算准确度</w:t>
            </w:r>
          </w:p>
        </w:tc>
        <w:tc>
          <w:tcPr>
            <w:tcW w:type="dxa" w:w="3744"/>
          </w:tcPr>
          <w:p>
            <w:r>
              <w:t>估算 vs 实际申报差异</w:t>
            </w:r>
          </w:p>
        </w:tc>
        <w:tc>
          <w:tcPr>
            <w:tcW w:type="dxa" w:w="3744"/>
          </w:tcPr>
          <w:p>
            <w:r>
              <w:t>±15% 内（基于真实申报校验）</w:t>
            </w:r>
          </w:p>
        </w:tc>
      </w:tr>
      <w:tr>
        <w:tc>
          <w:tcPr>
            <w:tcW w:type="dxa" w:w="2592"/>
          </w:tcPr>
          <w:p>
            <w:r>
              <w:t>报告一次通过率</w:t>
            </w:r>
          </w:p>
        </w:tc>
        <w:tc>
          <w:tcPr>
            <w:tcW w:type="dxa" w:w="3744"/>
          </w:tcPr>
          <w:p>
            <w:r>
              <w:t>客户无重大修改退回</w:t>
            </w:r>
          </w:p>
        </w:tc>
        <w:tc>
          <w:tcPr>
            <w:tcW w:type="dxa" w:w="3744"/>
          </w:tcPr>
          <w:p>
            <w:r>
              <w:t>≥ 80%</w:t>
            </w:r>
          </w:p>
        </w:tc>
      </w:tr>
    </w:tbl>
    <w:p>
      <w:pPr>
        <w:pStyle w:val="Heading1"/>
      </w:pPr>
      <w:r>
        <w:t>三、用户故事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872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7200"/>
          </w:tcPr>
          <w:p>
            <w:r>
              <w:rPr>
                <w:b/>
              </w:rPr>
              <w:t>作为… 我希望… 以便…</w:t>
            </w:r>
          </w:p>
        </w:tc>
      </w:tr>
      <w:tr>
        <w:tc>
          <w:tcPr>
            <w:tcW w:type="dxa" w:w="1008"/>
          </w:tcPr>
          <w:p>
            <w:r>
              <w:t>US-1</w:t>
            </w:r>
          </w:p>
        </w:tc>
        <w:tc>
          <w:tcPr>
            <w:tcW w:type="dxa" w:w="1872"/>
          </w:tcPr>
          <w:p>
            <w:r>
              <w:t>代账顾问</w:t>
            </w:r>
          </w:p>
        </w:tc>
        <w:tc>
          <w:tcPr>
            <w:tcW w:type="dxa" w:w="7200"/>
          </w:tcPr>
          <w:p>
            <w:r>
              <w:t>作为代账顾问，我希望导入客户财报后自动得到税负率与成本结构对标诊断，以便快速定位优化空间。</w:t>
            </w:r>
          </w:p>
        </w:tc>
      </w:tr>
      <w:tr>
        <w:tc>
          <w:tcPr>
            <w:tcW w:type="dxa" w:w="1008"/>
          </w:tcPr>
          <w:p>
            <w:r>
              <w:t>US-2</w:t>
            </w:r>
          </w:p>
        </w:tc>
        <w:tc>
          <w:tcPr>
            <w:tcW w:type="dxa" w:w="1872"/>
          </w:tcPr>
          <w:p>
            <w:r>
              <w:t>代账顾问</w:t>
            </w:r>
          </w:p>
        </w:tc>
        <w:tc>
          <w:tcPr>
            <w:tcW w:type="dxa" w:w="7200"/>
          </w:tcPr>
          <w:p>
            <w:r>
              <w:t>作为代账顾问，我希望系统就每条发现给出 3 个可量化选项，以便向客户清晰解释利弊。</w:t>
            </w:r>
          </w:p>
        </w:tc>
      </w:tr>
      <w:tr>
        <w:tc>
          <w:tcPr>
            <w:tcW w:type="dxa" w:w="1008"/>
          </w:tcPr>
          <w:p>
            <w:r>
              <w:t>US-3</w:t>
            </w:r>
          </w:p>
        </w:tc>
        <w:tc>
          <w:tcPr>
            <w:tcW w:type="dxa" w:w="1872"/>
          </w:tcPr>
          <w:p>
            <w:r>
              <w:t>代账顾问</w:t>
            </w:r>
          </w:p>
        </w:tc>
        <w:tc>
          <w:tcPr>
            <w:tcW w:type="dxa" w:w="7200"/>
          </w:tcPr>
          <w:p>
            <w:r>
              <w:t>作为代账顾问，我希望输入客户战略意图后方案能迭代，以便方案贴合客户实际。</w:t>
            </w:r>
          </w:p>
        </w:tc>
      </w:tr>
      <w:tr>
        <w:tc>
          <w:tcPr>
            <w:tcW w:type="dxa" w:w="1008"/>
          </w:tcPr>
          <w:p>
            <w:r>
              <w:t>US-4</w:t>
            </w:r>
          </w:p>
        </w:tc>
        <w:tc>
          <w:tcPr>
            <w:tcW w:type="dxa" w:w="1872"/>
          </w:tcPr>
          <w:p>
            <w:r>
              <w:t>机构负责人</w:t>
            </w:r>
          </w:p>
        </w:tc>
        <w:tc>
          <w:tcPr>
            <w:tcW w:type="dxa" w:w="7200"/>
          </w:tcPr>
          <w:p>
            <w:r>
              <w:t>作为负责人，我希望导出标准化 Word/PDF 报告与 Excel 测算模型，以便统一交付与跟踪。</w:t>
            </w:r>
          </w:p>
        </w:tc>
      </w:tr>
      <w:tr>
        <w:tc>
          <w:tcPr>
            <w:tcW w:type="dxa" w:w="1008"/>
          </w:tcPr>
          <w:p>
            <w:r>
              <w:t>US-5</w:t>
            </w:r>
          </w:p>
        </w:tc>
        <w:tc>
          <w:tcPr>
            <w:tcW w:type="dxa" w:w="1872"/>
          </w:tcPr>
          <w:p>
            <w:r>
              <w:t>企业客户</w:t>
            </w:r>
          </w:p>
        </w:tc>
        <w:tc>
          <w:tcPr>
            <w:tcW w:type="dxa" w:w="7200"/>
          </w:tcPr>
          <w:p>
            <w:r>
              <w:t>作为客户，我希望看到'该有没的/可有可没有'的直观结论与节税测算，以便决策。</w:t>
            </w:r>
          </w:p>
        </w:tc>
      </w:tr>
    </w:tbl>
    <w:p>
      <w:pPr>
        <w:pStyle w:val="Heading1"/>
      </w:pPr>
      <w:r>
        <w:t>四、功能清单与需求描述（EARS）</w:t>
      </w:r>
    </w:p>
    <w:p>
      <w:r>
        <w:rPr>
          <w:b w:val="0"/>
          <w:i/>
          <w:sz w:val="18"/>
        </w:rPr>
        <w:t>以下需求按 EARS 原则表述：Ubiquitous（始终）、Event-driven（当…时）、Unwanted（若…则）、State-driven（在…状态下）、Optional（若启用…则）。标注【已实现】为当前 MVP 已覆盖；【规划】为后续版本。</w:t>
      </w:r>
    </w:p>
    <w:p>
      <w:pPr>
        <w:pStyle w:val="Heading2"/>
      </w:pPr>
      <w:r>
        <w:t>F1 数据导入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8352"/>
          </w:tcPr>
          <w:p>
            <w:r>
              <w:rPr>
                <w:b/>
              </w:rPr>
              <w:t>需求描述</w:t>
            </w:r>
          </w:p>
        </w:tc>
      </w:tr>
      <w:tr>
        <w:tc>
          <w:tcPr>
            <w:tcW w:type="dxa" w:w="1728"/>
          </w:tcPr>
          <w:p>
            <w:r>
              <w:t>Ubiquitous</w:t>
            </w:r>
          </w:p>
        </w:tc>
        <w:tc>
          <w:tcPr>
            <w:tcW w:type="dxa" w:w="8352"/>
          </w:tcPr>
          <w:p>
            <w:r>
              <w:t>系统应支持导入 Excel(.xlsx/.xls) 与 CSV 格式的财报数据。</w:t>
            </w:r>
          </w:p>
        </w:tc>
      </w:tr>
      <w:tr>
        <w:tc>
          <w:tcPr>
            <w:tcW w:type="dxa" w:w="1728"/>
          </w:tcPr>
          <w:p>
            <w:r>
              <w:t>Event-driven</w:t>
            </w:r>
          </w:p>
        </w:tc>
        <w:tc>
          <w:tcPr>
            <w:tcW w:type="dxa" w:w="8352"/>
          </w:tcPr>
          <w:p>
            <w:r>
              <w:t>当用户选择一个含'利润表/资产负债表/科目余额表'三 Sheet 的 Excel 时，系统应自动识别各表并解析。</w:t>
            </w:r>
          </w:p>
        </w:tc>
      </w:tr>
      <w:tr>
        <w:tc>
          <w:tcPr>
            <w:tcW w:type="dxa" w:w="1728"/>
          </w:tcPr>
          <w:p>
            <w:r>
              <w:t>Event-driven</w:t>
            </w:r>
          </w:p>
        </w:tc>
        <w:tc>
          <w:tcPr>
            <w:tcW w:type="dxa" w:w="8352"/>
          </w:tcPr>
          <w:p>
            <w:r>
              <w:t>当用户分别导入利润表、资产负债表、科目余额表三个文件时，系统应合并为统一的财务数据集。</w:t>
            </w:r>
          </w:p>
        </w:tc>
      </w:tr>
      <w:tr>
        <w:tc>
          <w:tcPr>
            <w:tcW w:type="dxa" w:w="1728"/>
          </w:tcPr>
          <w:p>
            <w:r>
              <w:t>Unwanted</w:t>
            </w:r>
          </w:p>
        </w:tc>
        <w:tc>
          <w:tcPr>
            <w:tcW w:type="dxa" w:w="8352"/>
          </w:tcPr>
          <w:p>
            <w:r>
              <w:t>若文件无法解析或识别不到任何年份列，则系统应提示'请检查报表模板（首列为项目、其余列为各年金额）'并中止，不得静默生成空报告。</w:t>
            </w:r>
          </w:p>
        </w:tc>
      </w:tr>
      <w:tr>
        <w:tc>
          <w:tcPr>
            <w:tcW w:type="dxa" w:w="1728"/>
          </w:tcPr>
          <w:p>
            <w:r>
              <w:t>Ubiquitous</w:t>
            </w:r>
          </w:p>
        </w:tc>
        <w:tc>
          <w:tcPr>
            <w:tcW w:type="dxa" w:w="8352"/>
          </w:tcPr>
          <w:p>
            <w:r>
              <w:t>系统应通过同义词词典把不同财务软件（金蝶/用账）导出的科目名归并到规范科目。</w:t>
            </w:r>
          </w:p>
        </w:tc>
      </w:tr>
      <w:tr>
        <w:tc>
          <w:tcPr>
            <w:tcW w:type="dxa" w:w="1728"/>
          </w:tcPr>
          <w:p>
            <w:r>
              <w:t>State-driven</w:t>
            </w:r>
          </w:p>
        </w:tc>
        <w:tc>
          <w:tcPr>
            <w:tcW w:type="dxa" w:w="8352"/>
          </w:tcPr>
          <w:p>
            <w:r>
              <w:t>在导入完成后，系统应在状态栏显示'企业名 / 行业 / 期间'。</w:t>
            </w:r>
          </w:p>
        </w:tc>
      </w:tr>
      <w:tr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8352"/>
          </w:tcPr>
          <w:p>
            <w:r>
              <w:t>若用户提供 PDF 扫描件，则系统应提示'当前版本暂不支持 OCR，请导出 Excel'（OCR 列入后续版本）。</w:t>
            </w:r>
          </w:p>
        </w:tc>
      </w:tr>
    </w:tbl>
    <w:p>
      <w:pPr>
        <w:pStyle w:val="Heading2"/>
      </w:pPr>
      <w:r>
        <w:t>F2 综合分析（税负率与成本结构）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8352"/>
          </w:tcPr>
          <w:p>
            <w:r>
              <w:rPr>
                <w:b/>
              </w:rPr>
              <w:t>需求描述</w:t>
            </w:r>
          </w:p>
        </w:tc>
      </w:tr>
      <w:tr>
        <w:tc>
          <w:tcPr>
            <w:tcW w:type="dxa" w:w="1728"/>
          </w:tcPr>
          <w:p>
            <w:r>
              <w:t>Ubiquitous</w:t>
            </w:r>
          </w:p>
        </w:tc>
        <w:tc>
          <w:tcPr>
            <w:tcW w:type="dxa" w:w="8352"/>
          </w:tcPr>
          <w:p>
            <w:r>
              <w:t>系统应基于近三年数据计算：增值税税负率（估算）、所得税税负率、综合税负率、毛利率、各项费用率、期间费用率、净利率。</w:t>
            </w:r>
          </w:p>
        </w:tc>
      </w:tr>
      <w:tr>
        <w:tc>
          <w:tcPr>
            <w:tcW w:type="dxa" w:w="1728"/>
          </w:tcPr>
          <w:p>
            <w:r>
              <w:t>Event-driven</w:t>
            </w:r>
          </w:p>
        </w:tc>
        <w:tc>
          <w:tcPr>
            <w:tcW w:type="dxa" w:w="8352"/>
          </w:tcPr>
          <w:p>
            <w:r>
              <w:t>当用户点击'开始诊断'时，系统应计算上述指标并渲染趋势图与结构图。</w:t>
            </w:r>
          </w:p>
        </w:tc>
      </w:tr>
      <w:tr>
        <w:tc>
          <w:tcPr>
            <w:tcW w:type="dxa" w:w="1728"/>
          </w:tcPr>
          <w:p>
            <w:r>
              <w:t>Ubiquitous</w:t>
            </w:r>
          </w:p>
        </w:tc>
        <w:tc>
          <w:tcPr>
            <w:tcW w:type="dxa" w:w="8352"/>
          </w:tcPr>
          <w:p>
            <w:r>
              <w:t>增值税税负率应明确标注为'估算值（基于税金及附加反推）'，避免误导。</w:t>
            </w:r>
          </w:p>
        </w:tc>
      </w:tr>
      <w:tr>
        <w:tc>
          <w:tcPr>
            <w:tcW w:type="dxa" w:w="1728"/>
          </w:tcPr>
          <w:p>
            <w:r>
              <w:t>Unwanted</w:t>
            </w:r>
          </w:p>
        </w:tc>
        <w:tc>
          <w:tcPr>
            <w:tcW w:type="dxa" w:w="8352"/>
          </w:tcPr>
          <w:p>
            <w:r>
              <w:t>若某年营业收入为 0，则系统应将该年比率置为 0 并标注'基数缺失'，不得产生除零错误。</w:t>
            </w:r>
          </w:p>
        </w:tc>
      </w:tr>
      <w:tr>
        <w:tc>
          <w:tcPr>
            <w:tcW w:type="dxa" w:w="1728"/>
          </w:tcPr>
          <w:p>
            <w:r>
              <w:t>State-driven</w:t>
            </w:r>
          </w:p>
        </w:tc>
        <w:tc>
          <w:tcPr>
            <w:tcW w:type="dxa" w:w="8352"/>
          </w:tcPr>
          <w:p>
            <w:r>
              <w:t>在展示税负率时，系统应叠加行业合理区间作为对标参考线。</w:t>
            </w:r>
          </w:p>
        </w:tc>
      </w:tr>
    </w:tbl>
    <w:p>
      <w:pPr>
        <w:pStyle w:val="Heading2"/>
      </w:pPr>
      <w:r>
        <w:t>F3 第一轮诊断（初稿建议）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8352"/>
          </w:tcPr>
          <w:p>
            <w:r>
              <w:rPr>
                <w:b/>
              </w:rPr>
              <w:t>需求描述</w:t>
            </w:r>
          </w:p>
        </w:tc>
      </w:tr>
      <w:tr>
        <w:tc>
          <w:tcPr>
            <w:tcW w:type="dxa" w:w="1728"/>
          </w:tcPr>
          <w:p>
            <w:r>
              <w:t>Event-driven</w:t>
            </w:r>
          </w:p>
        </w:tc>
        <w:tc>
          <w:tcPr>
            <w:tcW w:type="dxa" w:w="8352"/>
          </w:tcPr>
          <w:p>
            <w:r>
              <w:t>当分析完成，系统应依据行业基准生成诊断发现，并按严重度（高/中/低）排序。</w:t>
            </w:r>
          </w:p>
        </w:tc>
      </w:tr>
      <w:tr>
        <w:tc>
          <w:tcPr>
            <w:tcW w:type="dxa" w:w="1728"/>
          </w:tcPr>
          <w:p>
            <w:r>
              <w:t>Ubiquitous</w:t>
            </w:r>
          </w:p>
        </w:tc>
        <w:tc>
          <w:tcPr>
            <w:tcW w:type="dxa" w:w="8352"/>
          </w:tcPr>
          <w:p>
            <w:r>
              <w:t>对每条发现，系统应给出：事实（数据）、对标情况、初稿建议三类信息。</w:t>
            </w:r>
          </w:p>
        </w:tc>
      </w:tr>
      <w:tr>
        <w:tc>
          <w:tcPr>
            <w:tcW w:type="dxa" w:w="1728"/>
          </w:tcPr>
          <w:p>
            <w:r>
              <w:t>Unwanted</w:t>
            </w:r>
          </w:p>
        </w:tc>
        <w:tc>
          <w:tcPr>
            <w:tcW w:type="dxa" w:w="8352"/>
          </w:tcPr>
          <w:p>
            <w:r>
              <w:t>若增值税税负率低于行业下限且收入正常，则系统应标记为'真实性关注（高风险）'并提示核查收入与进项链条。</w:t>
            </w:r>
          </w:p>
        </w:tc>
      </w:tr>
      <w:tr>
        <w:tc>
          <w:tcPr>
            <w:tcW w:type="dxa" w:w="1728"/>
          </w:tcPr>
          <w:p>
            <w:r>
              <w:t>Ubiquitous</w:t>
            </w:r>
          </w:p>
        </w:tc>
        <w:tc>
          <w:tcPr>
            <w:tcW w:type="dxa" w:w="8352"/>
          </w:tcPr>
          <w:p>
            <w:r>
              <w:t>系统应识别'该有没的'（如研发费用缺失、福利/教育经费未用足限额）与'可有可没有/应控'（如招待费超限、咨询费占比偏高）。</w:t>
            </w:r>
          </w:p>
        </w:tc>
      </w:tr>
      <w:tr>
        <w:tc>
          <w:tcPr>
            <w:tcW w:type="dxa" w:w="1728"/>
          </w:tcPr>
          <w:p>
            <w:r>
              <w:t>Ubiquitous</w:t>
            </w:r>
          </w:p>
        </w:tc>
        <w:tc>
          <w:tcPr>
            <w:tcW w:type="dxa" w:w="8352"/>
          </w:tcPr>
          <w:p>
            <w:r>
              <w:t>所有优化建议必须属于合法税务筹划范畴，系统应在报告中固化合规声明。</w:t>
            </w:r>
          </w:p>
        </w:tc>
      </w:tr>
      <w:tr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8352"/>
          </w:tcPr>
          <w:p>
            <w:r>
              <w:t>若机构已校准行业基准，则系统应使用校准后的区间进行对标。</w:t>
            </w:r>
          </w:p>
        </w:tc>
      </w:tr>
    </w:tbl>
    <w:p>
      <w:pPr>
        <w:pStyle w:val="Heading2"/>
      </w:pPr>
      <w:r>
        <w:t>F4 多轮互动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8352"/>
          </w:tcPr>
          <w:p>
            <w:r>
              <w:rPr>
                <w:b/>
              </w:rPr>
              <w:t>需求描述</w:t>
            </w:r>
          </w:p>
        </w:tc>
      </w:tr>
      <w:tr>
        <w:tc>
          <w:tcPr>
            <w:tcW w:type="dxa" w:w="1728"/>
          </w:tcPr>
          <w:p>
            <w:r>
              <w:t>Event-driven</w:t>
            </w:r>
          </w:p>
        </w:tc>
        <w:tc>
          <w:tcPr>
            <w:tcW w:type="dxa" w:w="8352"/>
          </w:tcPr>
          <w:p>
            <w:r>
              <w:t>当进入互动，系统应针对当前未决发现给出 A/B/C 三个选项（含影响测算与落地可行性）。</w:t>
            </w:r>
          </w:p>
        </w:tc>
      </w:tr>
      <w:tr>
        <w:tc>
          <w:tcPr>
            <w:tcW w:type="dxa" w:w="1728"/>
          </w:tcPr>
          <w:p>
            <w:r>
              <w:t>Event-driven</w:t>
            </w:r>
          </w:p>
        </w:tc>
        <w:tc>
          <w:tcPr>
            <w:tcW w:type="dxa" w:w="8352"/>
          </w:tcPr>
          <w:p>
            <w:r>
              <w:t>当用户选择某选项，系统应记录选择并推进到下一条未决发现。</w:t>
            </w:r>
          </w:p>
        </w:tc>
      </w:tr>
      <w:tr>
        <w:tc>
          <w:tcPr>
            <w:tcW w:type="dxa" w:w="1728"/>
          </w:tcPr>
          <w:p>
            <w:r>
              <w:t>Event-driven</w:t>
            </w:r>
          </w:p>
        </w:tc>
        <w:tc>
          <w:tcPr>
            <w:tcW w:type="dxa" w:w="8352"/>
          </w:tcPr>
          <w:p>
            <w:r>
              <w:t>当用户在输入框补充战略意图，系统应记录该意图并据此继续给出选项（不强制立刻选择）。</w:t>
            </w:r>
          </w:p>
        </w:tc>
      </w:tr>
      <w:tr>
        <w:tc>
          <w:tcPr>
            <w:tcW w:type="dxa" w:w="1728"/>
          </w:tcPr>
          <w:p>
            <w:r>
              <w:t>State-driven</w:t>
            </w:r>
          </w:p>
        </w:tc>
        <w:tc>
          <w:tcPr>
            <w:tcW w:type="dxa" w:w="8352"/>
          </w:tcPr>
          <w:p>
            <w:r>
              <w:t>在仍有未决发现时，系统应持续进入下一轮，直到所有发现被处理或用户主动请求生成方案。</w:t>
            </w:r>
          </w:p>
        </w:tc>
      </w:tr>
      <w:tr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8352"/>
          </w:tcPr>
          <w:p>
            <w:r>
              <w:t>若用户配置了大模型 key，则系统可用大模型增强选项的自然语言解释与行业知识问答。</w:t>
            </w:r>
          </w:p>
        </w:tc>
      </w:tr>
      <w:tr>
        <w:tc>
          <w:tcPr>
            <w:tcW w:type="dxa" w:w="1728"/>
          </w:tcPr>
          <w:p>
            <w:r>
              <w:t>Unwanted</w:t>
            </w:r>
          </w:p>
        </w:tc>
        <w:tc>
          <w:tcPr>
            <w:tcW w:type="dxa" w:w="8352"/>
          </w:tcPr>
          <w:p>
            <w:r>
              <w:t>若用户输入与财务优化无关的内容，则系统应礼貌引导回'成本结构/税负优化'主题，不偏离合规边界。</w:t>
            </w:r>
          </w:p>
        </w:tc>
      </w:tr>
    </w:tbl>
    <w:p>
      <w:pPr>
        <w:pStyle w:val="Heading2"/>
      </w:pPr>
      <w:r>
        <w:t>F5 第二稿方案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8352"/>
          </w:tcPr>
          <w:p>
            <w:r>
              <w:rPr>
                <w:b/>
              </w:rPr>
              <w:t>需求描述</w:t>
            </w:r>
          </w:p>
        </w:tc>
      </w:tr>
      <w:tr>
        <w:tc>
          <w:tcPr>
            <w:tcW w:type="dxa" w:w="1728"/>
          </w:tcPr>
          <w:p>
            <w:r>
              <w:t>Event-driven</w:t>
            </w:r>
          </w:p>
        </w:tc>
        <w:tc>
          <w:tcPr>
            <w:tcW w:type="dxa" w:w="8352"/>
          </w:tcPr>
          <w:p>
            <w:r>
              <w:t>当所有发现处理完毕或用户请求，系统应生成第二稿：对每条决策给出历史环比同比、后续增值比例与幅度、操作细节、注意事项。</w:t>
            </w:r>
          </w:p>
        </w:tc>
      </w:tr>
      <w:tr>
        <w:tc>
          <w:tcPr>
            <w:tcW w:type="dxa" w:w="1728"/>
          </w:tcPr>
          <w:p>
            <w:r>
              <w:t>Ubiquitous</w:t>
            </w:r>
          </w:p>
        </w:tc>
        <w:tc>
          <w:tcPr>
            <w:tcW w:type="dxa" w:w="8352"/>
          </w:tcPr>
          <w:p>
            <w:r>
              <w:t>增值比例与幅度必须以'当前值→目标值→变动幅度→预计节税'结构呈现，且数字可由原始报表反算复核。</w:t>
            </w:r>
          </w:p>
        </w:tc>
      </w:tr>
      <w:tr>
        <w:tc>
          <w:tcPr>
            <w:tcW w:type="dxa" w:w="1728"/>
          </w:tcPr>
          <w:p>
            <w:r>
              <w:t>Unwanted</w:t>
            </w:r>
          </w:p>
        </w:tc>
        <w:tc>
          <w:tcPr>
            <w:tcW w:type="dxa" w:w="8352"/>
          </w:tcPr>
          <w:p>
            <w:r>
              <w:t>若某费用项无历史序列（如仅最新期科目余额），则系统应标注'无历史，仅列最新值'，不得伪造同比。</w:t>
            </w:r>
          </w:p>
        </w:tc>
      </w:tr>
    </w:tbl>
    <w:p>
      <w:pPr>
        <w:pStyle w:val="Heading2"/>
      </w:pPr>
      <w:r>
        <w:t>F6 落地判定与完整方案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8352"/>
          </w:tcPr>
          <w:p>
            <w:r>
              <w:rPr>
                <w:b/>
              </w:rPr>
              <w:t>需求描述</w:t>
            </w:r>
          </w:p>
        </w:tc>
      </w:tr>
      <w:tr>
        <w:tc>
          <w:tcPr>
            <w:tcW w:type="dxa" w:w="1728"/>
          </w:tcPr>
          <w:p>
            <w:r>
              <w:t>State-driven</w:t>
            </w:r>
          </w:p>
        </w:tc>
        <w:tc>
          <w:tcPr>
            <w:tcW w:type="dxa" w:w="8352"/>
          </w:tcPr>
          <w:p>
            <w:r>
              <w:t>当落地性评估 ≥ 95% 或用户回复'确认/落地'时，系统应生成完整方案（含行动清单、节税合计、落地性）。</w:t>
            </w:r>
          </w:p>
        </w:tc>
      </w:tr>
      <w:tr>
        <w:tc>
          <w:tcPr>
            <w:tcW w:type="dxa" w:w="1728"/>
          </w:tcPr>
          <w:p>
            <w:r>
              <w:t>Ubiquitous</w:t>
            </w:r>
          </w:p>
        </w:tc>
        <w:tc>
          <w:tcPr>
            <w:tcW w:type="dxa" w:w="8352"/>
          </w:tcPr>
          <w:p>
            <w:r>
              <w:t>落地性评分应可解释：由未决高风险项、'暂维持'选择、可行性加权得出，并在界面展示算法口径。</w:t>
            </w:r>
          </w:p>
        </w:tc>
      </w:tr>
      <w:tr>
        <w:tc>
          <w:tcPr>
            <w:tcW w:type="dxa" w:w="1728"/>
          </w:tcPr>
          <w:p>
            <w:r>
              <w:t>Unwanted</w:t>
            </w:r>
          </w:p>
        </w:tc>
        <w:tc>
          <w:tcPr>
            <w:tcW w:type="dxa" w:w="8352"/>
          </w:tcPr>
          <w:p>
            <w:r>
              <w:t>若落地性 &lt; 95% 且用户未明确确认，则系统应提示'方案仍含未决风险，建议补充信息后再落地'，不直接输出最终交付物。</w:t>
            </w:r>
          </w:p>
        </w:tc>
      </w:tr>
      <w:tr>
        <w:tc>
          <w:tcPr>
            <w:tcW w:type="dxa" w:w="1728"/>
          </w:tcPr>
          <w:p>
            <w:r>
              <w:t>Event-driven</w:t>
            </w:r>
          </w:p>
        </w:tc>
        <w:tc>
          <w:tcPr>
            <w:tcW w:type="dxa" w:w="8352"/>
          </w:tcPr>
          <w:p>
            <w:r>
              <w:t>当生成完整方案，系统应解锁'导出报告'与'导出测算模型'。</w:t>
            </w:r>
          </w:p>
        </w:tc>
      </w:tr>
    </w:tbl>
    <w:p>
      <w:pPr>
        <w:pStyle w:val="Heading2"/>
      </w:pPr>
      <w:r>
        <w:t>F7/F8 导出交付物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8352"/>
          </w:tcPr>
          <w:p>
            <w:r>
              <w:rPr>
                <w:b/>
              </w:rPr>
              <w:t>需求描述</w:t>
            </w:r>
          </w:p>
        </w:tc>
      </w:tr>
      <w:tr>
        <w:tc>
          <w:tcPr>
            <w:tcW w:type="dxa" w:w="1728"/>
          </w:tcPr>
          <w:p>
            <w:r>
              <w:t>Event-driven</w:t>
            </w:r>
          </w:p>
        </w:tc>
        <w:tc>
          <w:tcPr>
            <w:tcW w:type="dxa" w:w="8352"/>
          </w:tcPr>
          <w:p>
            <w:r>
              <w:t>当用户点击'导出 Word/PDF'，系统应生成含综合分析、诊断、第二稿、完整方案、合规声明的报告。</w:t>
            </w:r>
          </w:p>
        </w:tc>
      </w:tr>
      <w:tr>
        <w:tc>
          <w:tcPr>
            <w:tcW w:type="dxa" w:w="1728"/>
          </w:tcPr>
          <w:p>
            <w:r>
              <w:t>Event-driven</w:t>
            </w:r>
          </w:p>
        </w:tc>
        <w:tc>
          <w:tcPr>
            <w:tcW w:type="dxa" w:w="8352"/>
          </w:tcPr>
          <w:p>
            <w:r>
              <w:t>当用户点击'导出测算模型'，系统应生成 Excel：方案概览、行动测算（当前值→目标值→节税）、执行清单（可逐月勾选）。</w:t>
            </w:r>
          </w:p>
        </w:tc>
      </w:tr>
      <w:tr>
        <w:tc>
          <w:tcPr>
            <w:tcW w:type="dxa" w:w="1728"/>
          </w:tcPr>
          <w:p>
            <w:r>
              <w:t>Unwanted</w:t>
            </w:r>
          </w:p>
        </w:tc>
        <w:tc>
          <w:tcPr>
            <w:tcW w:type="dxa" w:w="8352"/>
          </w:tcPr>
          <w:p>
            <w:r>
              <w:t>若导出失败（如路径不可写），则系统应弹出错误提示并保留内存中的方案数据，不丢失。</w:t>
            </w:r>
          </w:p>
        </w:tc>
      </w:tr>
    </w:tbl>
    <w:p>
      <w:pPr>
        <w:pStyle w:val="Heading2"/>
      </w:pPr>
      <w:r>
        <w:t>F9 可选大模型配置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8352"/>
          </w:tcPr>
          <w:p>
            <w:r>
              <w:rPr>
                <w:b/>
              </w:rPr>
              <w:t>需求描述</w:t>
            </w:r>
          </w:p>
        </w:tc>
      </w:tr>
      <w:tr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8352"/>
          </w:tcPr>
          <w:p>
            <w:r>
              <w:t>若用户在设置中填入 OpenAI 兼容的 Base URL / Key / 模型，则系统应在互动环节调用大模型增强自然语言。</w:t>
            </w:r>
          </w:p>
        </w:tc>
      </w:tr>
      <w:tr>
        <w:tc>
          <w:tcPr>
            <w:tcW w:type="dxa" w:w="1728"/>
          </w:tcPr>
          <w:p>
            <w:r>
              <w:t>Ubiquitous</w:t>
            </w:r>
          </w:p>
        </w:tc>
        <w:tc>
          <w:tcPr>
            <w:tcW w:type="dxa" w:w="8352"/>
          </w:tcPr>
          <w:p>
            <w:r>
              <w:t>未配置大模型时，系统应使用内置规则引擎，保证离线可跑通完整闭环。</w:t>
            </w:r>
          </w:p>
        </w:tc>
      </w:tr>
      <w:tr>
        <w:tc>
          <w:tcPr>
            <w:tcW w:type="dxa" w:w="1728"/>
          </w:tcPr>
          <w:p>
            <w:r>
              <w:t>Unwanted</w:t>
            </w:r>
          </w:p>
        </w:tc>
        <w:tc>
          <w:tcPr>
            <w:tcW w:type="dxa" w:w="8352"/>
          </w:tcPr>
          <w:p>
            <w:r>
              <w:t>若大模型调用超时或失败，则系统应静默回退到规则引擎，并提示'大模型不可用，已切换本地引擎'。</w:t>
            </w:r>
          </w:p>
        </w:tc>
      </w:tr>
    </w:tbl>
    <w:p>
      <w:pPr>
        <w:pStyle w:val="Heading1"/>
      </w:pPr>
      <w:r>
        <w:t>五、流程说明</w:t>
      </w:r>
    </w:p>
    <w:p>
      <w:r>
        <w:rPr>
          <w:b w:val="0"/>
          <w:i w:val="0"/>
        </w:rPr>
        <w:t>主流程：</w:t>
      </w:r>
    </w:p>
    <w:p>
      <w:pPr>
        <w:pStyle w:val="ListNumber"/>
      </w:pPr>
      <w:r>
        <w:t>导入财报（Excel/CSV）→ 解析为规范数据集；</w:t>
      </w:r>
    </w:p>
    <w:p>
      <w:pPr>
        <w:pStyle w:val="ListNumber"/>
      </w:pPr>
      <w:r>
        <w:t>点击'开始诊断' → 计算税负率/成本结构 → 渲染图表；</w:t>
      </w:r>
    </w:p>
    <w:p>
      <w:pPr>
        <w:pStyle w:val="ListNumber"/>
      </w:pPr>
      <w:r>
        <w:t>第一轮诊断 → 输出初稿（该有没的/可有可没有/真实性风险），按严重度排序；</w:t>
      </w:r>
    </w:p>
    <w:p>
      <w:pPr>
        <w:pStyle w:val="ListNumber"/>
      </w:pPr>
      <w:r>
        <w:t>进入互动 → 逐条给出 3 选项 → 用户选择或补充战略意图；</w:t>
      </w:r>
    </w:p>
    <w:p>
      <w:pPr>
        <w:pStyle w:val="ListNumber"/>
      </w:pPr>
      <w:r>
        <w:t>全部处理完 → 自动生成第二稿（环比同比 + 增值比例幅度 + 操作细节）；</w:t>
      </w:r>
    </w:p>
    <w:p>
      <w:pPr>
        <w:pStyle w:val="ListNumber"/>
      </w:pPr>
      <w:r>
        <w:t>用户确认或落地性≥95% → 生成完整方案 → 解锁导出；</w:t>
      </w:r>
    </w:p>
    <w:p>
      <w:pPr>
        <w:pStyle w:val="ListNumber"/>
      </w:pPr>
      <w:r>
        <w:t>导出 Word/PDF 报告 + Excel 测算模型，交付客户并逐月跟踪。</w:t>
      </w:r>
    </w:p>
    <w:p>
      <w:pPr>
        <w:pStyle w:val="Heading1"/>
      </w:pPr>
      <w:r>
        <w:t>六、交互说明</w:t>
      </w:r>
    </w:p>
    <w:p>
      <w:pPr>
        <w:pStyle w:val="ListBullet"/>
      </w:pPr>
      <w:r>
        <w:t>主界面分'工作台'与'设置'两个标签页；工作台左为诊断区，右为互动区（对话记录+3选项按钮+自由输入+操作按钮）。</w:t>
      </w:r>
    </w:p>
    <w:p>
      <w:pPr>
        <w:pStyle w:val="ListBullet"/>
      </w:pPr>
      <w:r>
        <w:t>每轮 3 个选项以按钮呈现，点击即选中并推进；自由输入框用于补充战略意图。</w:t>
      </w:r>
    </w:p>
    <w:p>
      <w:pPr>
        <w:pStyle w:val="ListBullet"/>
      </w:pPr>
      <w:r>
        <w:t>状态切换：选项态 → 第二稿态（显示查看/确认）→ 最终态（显示导出 Word/PDF/测算模型）。</w:t>
      </w:r>
    </w:p>
    <w:p>
      <w:pPr>
        <w:pStyle w:val="ListBullet"/>
      </w:pPr>
      <w:r>
        <w:t>设置页用于配置可选大模型（Base URL/Key/模型），保存后重启生效。</w:t>
      </w:r>
    </w:p>
    <w:p>
      <w:pPr>
        <w:pStyle w:val="Heading1"/>
      </w:pPr>
      <w:r>
        <w:t>七、数据指标与埋点需求</w:t>
      </w:r>
    </w:p>
    <w:p>
      <w:r>
        <w:rPr>
          <w:b w:val="0"/>
          <w:i/>
          <w:sz w:val="18"/>
        </w:rPr>
        <w:t>MVP 为本地桌面、默认不上报；以下埋点为【规划】，供后续 SaaS 化或匿名改进时启用：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</w:rPr>
              <w:t>埋点</w:t>
            </w:r>
          </w:p>
        </w:tc>
        <w:tc>
          <w:tcPr>
            <w:tcW w:type="dxa" w:w="3456"/>
          </w:tcPr>
          <w:p>
            <w:r>
              <w:rPr>
                <w:b/>
              </w:rPr>
              <w:t>触发时机</w:t>
            </w:r>
          </w:p>
        </w:tc>
        <w:tc>
          <w:tcPr>
            <w:tcW w:type="dxa" w:w="4032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592"/>
          </w:tcPr>
          <w:p>
            <w:r>
              <w:t>import_success</w:t>
            </w:r>
          </w:p>
        </w:tc>
        <w:tc>
          <w:tcPr>
            <w:tcW w:type="dxa" w:w="3456"/>
          </w:tcPr>
          <w:p>
            <w:r>
              <w:t>导入解析成功</w:t>
            </w:r>
          </w:p>
        </w:tc>
        <w:tc>
          <w:tcPr>
            <w:tcW w:type="dxa" w:w="4032"/>
          </w:tcPr>
          <w:p>
            <w:r>
              <w:t>评估数据模板兼容率</w:t>
            </w:r>
          </w:p>
        </w:tc>
      </w:tr>
      <w:tr>
        <w:tc>
          <w:tcPr>
            <w:tcW w:type="dxa" w:w="2592"/>
          </w:tcPr>
          <w:p>
            <w:r>
              <w:t>diagnosis_generated</w:t>
            </w:r>
          </w:p>
        </w:tc>
        <w:tc>
          <w:tcPr>
            <w:tcW w:type="dxa" w:w="3456"/>
          </w:tcPr>
          <w:p>
            <w:r>
              <w:t>诊断生成</w:t>
            </w:r>
          </w:p>
        </w:tc>
        <w:tc>
          <w:tcPr>
            <w:tcW w:type="dxa" w:w="4032"/>
          </w:tcPr>
          <w:p>
            <w:r>
              <w:t>统计平均发现数/严重度分布</w:t>
            </w:r>
          </w:p>
        </w:tc>
      </w:tr>
      <w:tr>
        <w:tc>
          <w:tcPr>
            <w:tcW w:type="dxa" w:w="2592"/>
          </w:tcPr>
          <w:p>
            <w:r>
              <w:t>option_chosen</w:t>
            </w:r>
          </w:p>
        </w:tc>
        <w:tc>
          <w:tcPr>
            <w:tcW w:type="dxa" w:w="3456"/>
          </w:tcPr>
          <w:p>
            <w:r>
              <w:t>选项被选中</w:t>
            </w:r>
          </w:p>
        </w:tc>
        <w:tc>
          <w:tcPr>
            <w:tcW w:type="dxa" w:w="4032"/>
          </w:tcPr>
          <w:p>
            <w:r>
              <w:t>分析各选项偏好</w:t>
            </w:r>
          </w:p>
        </w:tc>
      </w:tr>
      <w:tr>
        <w:tc>
          <w:tcPr>
            <w:tcW w:type="dxa" w:w="2592"/>
          </w:tcPr>
          <w:p>
            <w:r>
              <w:t>strategy_input</w:t>
            </w:r>
          </w:p>
        </w:tc>
        <w:tc>
          <w:tcPr>
            <w:tcW w:type="dxa" w:w="3456"/>
          </w:tcPr>
          <w:p>
            <w:r>
              <w:t>用户输入战略意图</w:t>
            </w:r>
          </w:p>
        </w:tc>
        <w:tc>
          <w:tcPr>
            <w:tcW w:type="dxa" w:w="4032"/>
          </w:tcPr>
          <w:p>
            <w:r>
              <w:t>优化互动引导</w:t>
            </w:r>
          </w:p>
        </w:tc>
      </w:tr>
      <w:tr>
        <w:tc>
          <w:tcPr>
            <w:tcW w:type="dxa" w:w="2592"/>
          </w:tcPr>
          <w:p>
            <w:r>
              <w:t>plan_confirmed</w:t>
            </w:r>
          </w:p>
        </w:tc>
        <w:tc>
          <w:tcPr>
            <w:tcW w:type="dxa" w:w="3456"/>
          </w:tcPr>
          <w:p>
            <w:r>
              <w:t>方案确认落地</w:t>
            </w:r>
          </w:p>
        </w:tc>
        <w:tc>
          <w:tcPr>
            <w:tcW w:type="dxa" w:w="4032"/>
          </w:tcPr>
          <w:p>
            <w:r>
              <w:t>衡量落地率</w:t>
            </w:r>
          </w:p>
        </w:tc>
      </w:tr>
      <w:tr>
        <w:tc>
          <w:tcPr>
            <w:tcW w:type="dxa" w:w="2592"/>
          </w:tcPr>
          <w:p>
            <w:r>
              <w:t>export_done</w:t>
            </w:r>
          </w:p>
        </w:tc>
        <w:tc>
          <w:tcPr>
            <w:tcW w:type="dxa" w:w="3456"/>
          </w:tcPr>
          <w:p>
            <w:r>
              <w:t>导出交付物</w:t>
            </w:r>
          </w:p>
        </w:tc>
        <w:tc>
          <w:tcPr>
            <w:tcW w:type="dxa" w:w="4032"/>
          </w:tcPr>
          <w:p>
            <w:r>
              <w:t>衡量交付采用率</w:t>
            </w:r>
          </w:p>
        </w:tc>
      </w:tr>
    </w:tbl>
    <w:p>
      <w:pPr>
        <w:pStyle w:val="Heading1"/>
      </w:pPr>
      <w:r>
        <w:t>八、验收标准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592"/>
          </w:tcPr>
          <w:p>
            <w:r>
              <w:rPr>
                <w:b/>
              </w:rPr>
              <w:t>验收项</w:t>
            </w:r>
          </w:p>
        </w:tc>
        <w:tc>
          <w:tcPr>
            <w:tcW w:type="dxa" w:w="6480"/>
          </w:tcPr>
          <w:p>
            <w:r>
              <w:rPr>
                <w:b/>
              </w:rPr>
              <w:t>通过条件</w:t>
            </w:r>
          </w:p>
        </w:tc>
      </w:tr>
      <w:tr>
        <w:tc>
          <w:tcPr>
            <w:tcW w:type="dxa" w:w="1008"/>
          </w:tcPr>
          <w:p>
            <w:r>
              <w:t>AC-1</w:t>
            </w:r>
          </w:p>
        </w:tc>
        <w:tc>
          <w:tcPr>
            <w:tcW w:type="dxa" w:w="2592"/>
          </w:tcPr>
          <w:p>
            <w:r>
              <w:t>数据导入</w:t>
            </w:r>
          </w:p>
        </w:tc>
        <w:tc>
          <w:tcPr>
            <w:tcW w:type="dxa" w:w="6480"/>
          </w:tcPr>
          <w:p>
            <w:r>
              <w:t>导入示例 Excel 后能识别三表与三年，解析错误率 0。</w:t>
            </w:r>
          </w:p>
        </w:tc>
      </w:tr>
      <w:tr>
        <w:tc>
          <w:tcPr>
            <w:tcW w:type="dxa" w:w="1008"/>
          </w:tcPr>
          <w:p>
            <w:r>
              <w:t>AC-2</w:t>
            </w:r>
          </w:p>
        </w:tc>
        <w:tc>
          <w:tcPr>
            <w:tcW w:type="dxa" w:w="2592"/>
          </w:tcPr>
          <w:p>
            <w:r>
              <w:t>税负率计算</w:t>
            </w:r>
          </w:p>
        </w:tc>
        <w:tc>
          <w:tcPr>
            <w:tcW w:type="dxa" w:w="6480"/>
          </w:tcPr>
          <w:p>
            <w:r>
              <w:t>增值税/所得税/综合税负率与手工复算一致（±0.01pp）。</w:t>
            </w:r>
          </w:p>
        </w:tc>
      </w:tr>
      <w:tr>
        <w:tc>
          <w:tcPr>
            <w:tcW w:type="dxa" w:w="1008"/>
          </w:tcPr>
          <w:p>
            <w:r>
              <w:t>AC-3</w:t>
            </w:r>
          </w:p>
        </w:tc>
        <w:tc>
          <w:tcPr>
            <w:tcW w:type="dxa" w:w="2592"/>
          </w:tcPr>
          <w:p>
            <w:r>
              <w:t>诊断发现</w:t>
            </w:r>
          </w:p>
        </w:tc>
        <w:tc>
          <w:tcPr>
            <w:tcW w:type="dxa" w:w="6480"/>
          </w:tcPr>
          <w:p>
            <w:r>
              <w:t>示例数据能识别出'研发费缺失''招待费超限''咨询费偏高'等，且严重度正确。</w:t>
            </w:r>
          </w:p>
        </w:tc>
      </w:tr>
      <w:tr>
        <w:tc>
          <w:tcPr>
            <w:tcW w:type="dxa" w:w="1008"/>
          </w:tcPr>
          <w:p>
            <w:r>
              <w:t>AC-4</w:t>
            </w:r>
          </w:p>
        </w:tc>
        <w:tc>
          <w:tcPr>
            <w:tcW w:type="dxa" w:w="2592"/>
          </w:tcPr>
          <w:p>
            <w:r>
              <w:t>互动闭环</w:t>
            </w:r>
          </w:p>
        </w:tc>
        <w:tc>
          <w:tcPr>
            <w:tcW w:type="dxa" w:w="6480"/>
          </w:tcPr>
          <w:p>
            <w:r>
              <w:t>连续选择可走到第二稿；输入战略意图能被记录并影响后续选项。</w:t>
            </w:r>
          </w:p>
        </w:tc>
      </w:tr>
      <w:tr>
        <w:tc>
          <w:tcPr>
            <w:tcW w:type="dxa" w:w="1008"/>
          </w:tcPr>
          <w:p>
            <w:r>
              <w:t>AC-5</w:t>
            </w:r>
          </w:p>
        </w:tc>
        <w:tc>
          <w:tcPr>
            <w:tcW w:type="dxa" w:w="2592"/>
          </w:tcPr>
          <w:p>
            <w:r>
              <w:t>第二稿要素</w:t>
            </w:r>
          </w:p>
        </w:tc>
        <w:tc>
          <w:tcPr>
            <w:tcW w:type="dxa" w:w="6480"/>
          </w:tcPr>
          <w:p>
            <w:r>
              <w:t>每条决策含环比同比、增值比例幅度、操作细节、注意事项四项。</w:t>
            </w:r>
          </w:p>
        </w:tc>
      </w:tr>
      <w:tr>
        <w:tc>
          <w:tcPr>
            <w:tcW w:type="dxa" w:w="1008"/>
          </w:tcPr>
          <w:p>
            <w:r>
              <w:t>AC-6</w:t>
            </w:r>
          </w:p>
        </w:tc>
        <w:tc>
          <w:tcPr>
            <w:tcW w:type="dxa" w:w="2592"/>
          </w:tcPr>
          <w:p>
            <w:r>
              <w:t>落地判定</w:t>
            </w:r>
          </w:p>
        </w:tc>
        <w:tc>
          <w:tcPr>
            <w:tcW w:type="dxa" w:w="6480"/>
          </w:tcPr>
          <w:p>
            <w:r>
              <w:t>默认全选 A 时落地性=100%；存在高风险'暂维持'时落地性应下降。</w:t>
            </w:r>
          </w:p>
        </w:tc>
      </w:tr>
      <w:tr>
        <w:tc>
          <w:tcPr>
            <w:tcW w:type="dxa" w:w="1008"/>
          </w:tcPr>
          <w:p>
            <w:r>
              <w:t>AC-7</w:t>
            </w:r>
          </w:p>
        </w:tc>
        <w:tc>
          <w:tcPr>
            <w:tcW w:type="dxa" w:w="2592"/>
          </w:tcPr>
          <w:p>
            <w:r>
              <w:t>导出</w:t>
            </w:r>
          </w:p>
        </w:tc>
        <w:tc>
          <w:tcPr>
            <w:tcW w:type="dxa" w:w="6480"/>
          </w:tcPr>
          <w:p>
            <w:r>
              <w:t>Word/PDF/Excel 三种交付物均可成功生成且可打开。</w:t>
            </w:r>
          </w:p>
        </w:tc>
      </w:tr>
      <w:tr>
        <w:tc>
          <w:tcPr>
            <w:tcW w:type="dxa" w:w="1008"/>
          </w:tcPr>
          <w:p>
            <w:r>
              <w:t>AC-8</w:t>
            </w:r>
          </w:p>
        </w:tc>
        <w:tc>
          <w:tcPr>
            <w:tcW w:type="dxa" w:w="2592"/>
          </w:tcPr>
          <w:p>
            <w:r>
              <w:t>离线兜底</w:t>
            </w:r>
          </w:p>
        </w:tc>
        <w:tc>
          <w:tcPr>
            <w:tcW w:type="dxa" w:w="6480"/>
          </w:tcPr>
          <w:p>
            <w:r>
              <w:t>未配置大模型时，完整闭环仍可跑通。</w:t>
            </w:r>
          </w:p>
        </w:tc>
      </w:tr>
      <w:tr>
        <w:tc>
          <w:tcPr>
            <w:tcW w:type="dxa" w:w="1008"/>
          </w:tcPr>
          <w:p>
            <w:r>
              <w:t>AC-9</w:t>
            </w:r>
          </w:p>
        </w:tc>
        <w:tc>
          <w:tcPr>
            <w:tcW w:type="dxa" w:w="2592"/>
          </w:tcPr>
          <w:p>
            <w:r>
              <w:t>合规</w:t>
            </w:r>
          </w:p>
        </w:tc>
        <w:tc>
          <w:tcPr>
            <w:tcW w:type="dxa" w:w="6480"/>
          </w:tcPr>
          <w:p>
            <w:r>
              <w:t>报告含合规声明，任何建议不出现逃漏税表述。</w:t>
            </w:r>
          </w:p>
        </w:tc>
      </w:tr>
    </w:tbl>
    <w:p>
      <w:pPr>
        <w:pStyle w:val="Heading1"/>
      </w:pPr>
      <w:r>
        <w:t>九、边界场景、异常状态、权限与数据口径</w:t>
      </w:r>
    </w:p>
    <w:p>
      <w:pPr>
        <w:pStyle w:val="Heading2"/>
      </w:pPr>
      <w:r>
        <w:t>9.1 边界与异常</w:t>
      </w:r>
    </w:p>
    <w:p>
      <w:pPr>
        <w:pStyle w:val="ListBullet"/>
      </w:pPr>
      <w:r>
        <w:t>单年数据（仅一列金额）：按单年诊断，同比置 0 并标注。</w:t>
      </w:r>
    </w:p>
    <w:p>
      <w:pPr>
        <w:pStyle w:val="ListBullet"/>
      </w:pPr>
      <w:r>
        <w:t>科目余额表缺失：跳过费用真实性细化项，仅基于利润表诊断，并提示'建议补充科目余额表以提升精度'。</w:t>
      </w:r>
    </w:p>
    <w:p>
      <w:pPr>
        <w:pStyle w:val="ListBullet"/>
      </w:pPr>
      <w:r>
        <w:t>行业未在基准库：回退制造业基准并提示'行业未匹配，已用制造业基准'。</w:t>
      </w:r>
    </w:p>
    <w:p>
      <w:pPr>
        <w:pStyle w:val="ListBullet"/>
      </w:pPr>
      <w:r>
        <w:t>数字异常（如营收为 0、括号负数）：解析器应正确处理负数与缺省。</w:t>
      </w:r>
    </w:p>
    <w:p>
      <w:pPr>
        <w:pStyle w:val="Heading2"/>
      </w:pPr>
      <w:r>
        <w:t>9.2 权限</w:t>
      </w:r>
    </w:p>
    <w:p>
      <w:pPr>
        <w:pStyle w:val="ListBullet"/>
      </w:pPr>
      <w:r>
        <w:t>MVP 为单机本地应用，无多角色权限；【规划】多客户管理需增加机构/顾问/客户三级权限与审计日志。</w:t>
      </w:r>
    </w:p>
    <w:p>
      <w:pPr>
        <w:pStyle w:val="Heading2"/>
      </w:pPr>
      <w:r>
        <w:t>9.3 数据口径</w:t>
      </w:r>
    </w:p>
    <w:p>
      <w:pPr>
        <w:pStyle w:val="ListBullet"/>
      </w:pPr>
      <w:r>
        <w:t>金额单位：默认元；若客户提供万元报表，需在导入时指定单位（【规划】）。</w:t>
      </w:r>
    </w:p>
    <w:p>
      <w:pPr>
        <w:pStyle w:val="ListBullet"/>
      </w:pPr>
      <w:r>
        <w:t>增值税税负率为估算值（税金及附加÷12%反推），界面与报告须显著标注。</w:t>
      </w:r>
    </w:p>
    <w:p>
      <w:pPr>
        <w:pStyle w:val="ListBullet"/>
      </w:pPr>
      <w:r>
        <w:t>小微/高新优惠判定为简化规则，正式申报以税务口径为准。</w:t>
      </w:r>
    </w:p>
    <w:p>
      <w:pPr>
        <w:pStyle w:val="Heading1"/>
      </w:pPr>
      <w:r>
        <w:t>十、待确认问题清单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896"/>
          </w:tcPr>
          <w:p>
            <w:r>
              <w:rPr>
                <w:b/>
              </w:rPr>
              <w:t>建议/影响</w:t>
            </w:r>
          </w:p>
        </w:tc>
      </w:tr>
      <w:tr>
        <w:tc>
          <w:tcPr>
            <w:tcW w:type="dxa" w:w="864"/>
          </w:tcPr>
          <w:p>
            <w:r>
              <w:t>Q-1</w:t>
            </w:r>
          </w:p>
        </w:tc>
        <w:tc>
          <w:tcPr>
            <w:tcW w:type="dxa" w:w="4320"/>
          </w:tcPr>
          <w:p>
            <w:r>
              <w:t>是否要做 OCR 解析 PDF 扫描件？</w:t>
            </w:r>
          </w:p>
        </w:tc>
        <w:tc>
          <w:tcPr>
            <w:tcW w:type="dxa" w:w="4896"/>
          </w:tcPr>
          <w:p>
            <w:r>
              <w:t>实现成本高；当前以 Excel 导入为主，OCR 列入 v2。</w:t>
            </w:r>
          </w:p>
        </w:tc>
      </w:tr>
      <w:tr>
        <w:tc>
          <w:tcPr>
            <w:tcW w:type="dxa" w:w="864"/>
          </w:tcPr>
          <w:p>
            <w:r>
              <w:t>Q-2</w:t>
            </w:r>
          </w:p>
        </w:tc>
        <w:tc>
          <w:tcPr>
            <w:tcW w:type="dxa" w:w="4320"/>
          </w:tcPr>
          <w:p>
            <w:r>
              <w:t>行业基准如何获取与校准？</w:t>
            </w:r>
          </w:p>
        </w:tc>
        <w:tc>
          <w:tcPr>
            <w:tcW w:type="dxa" w:w="4896"/>
          </w:tcPr>
          <w:p>
            <w:r>
              <w:t>先用经验区间，建议用机构真实客户样本校准。</w:t>
            </w:r>
          </w:p>
        </w:tc>
      </w:tr>
      <w:tr>
        <w:tc>
          <w:tcPr>
            <w:tcW w:type="dxa" w:w="864"/>
          </w:tcPr>
          <w:p>
            <w:r>
              <w:t>Q-3</w:t>
            </w:r>
          </w:p>
        </w:tc>
        <w:tc>
          <w:tcPr>
            <w:tcW w:type="dxa" w:w="4320"/>
          </w:tcPr>
          <w:p>
            <w:r>
              <w:t>是否需要多客户管理与方案沉淀？</w:t>
            </w:r>
          </w:p>
        </w:tc>
        <w:tc>
          <w:tcPr>
            <w:tcW w:type="dxa" w:w="4896"/>
          </w:tcPr>
          <w:p>
            <w:r>
              <w:t>影响数据模型与权限设计，建议 v2。</w:t>
            </w:r>
          </w:p>
        </w:tc>
      </w:tr>
      <w:tr>
        <w:tc>
          <w:tcPr>
            <w:tcW w:type="dxa" w:w="864"/>
          </w:tcPr>
          <w:p>
            <w:r>
              <w:t>Q-4</w:t>
            </w:r>
          </w:p>
        </w:tc>
        <w:tc>
          <w:tcPr>
            <w:tcW w:type="dxa" w:w="4320"/>
          </w:tcPr>
          <w:p>
            <w:r>
              <w:t>大模型用哪家/自部署？</w:t>
            </w:r>
          </w:p>
        </w:tc>
        <w:tc>
          <w:tcPr>
            <w:tcW w:type="dxa" w:w="4896"/>
          </w:tcPr>
          <w:p>
            <w:r>
              <w:t>影响合规与成本；默认支持 OpenAI 兼容，机构自备 key。</w:t>
            </w:r>
          </w:p>
        </w:tc>
      </w:tr>
      <w:tr>
        <w:tc>
          <w:tcPr>
            <w:tcW w:type="dxa" w:w="864"/>
          </w:tcPr>
          <w:p>
            <w:r>
              <w:t>Q-5</w:t>
            </w:r>
          </w:p>
        </w:tc>
        <w:tc>
          <w:tcPr>
            <w:tcW w:type="dxa" w:w="4320"/>
          </w:tcPr>
          <w:p>
            <w:r>
              <w:t>是否需要直连金蝶/用友取数？</w:t>
            </w:r>
          </w:p>
        </w:tc>
        <w:tc>
          <w:tcPr>
            <w:tcW w:type="dxa" w:w="4896"/>
          </w:tcPr>
          <w:p>
            <w:r>
              <w:t>提升体验但对接成本高，建议 v2 评估。</w:t>
            </w:r>
          </w:p>
        </w:tc>
      </w:tr>
      <w:tr>
        <w:tc>
          <w:tcPr>
            <w:tcW w:type="dxa" w:w="864"/>
          </w:tcPr>
          <w:p>
            <w:r>
              <w:t>Q-6</w:t>
            </w:r>
          </w:p>
        </w:tc>
        <w:tc>
          <w:tcPr>
            <w:tcW w:type="dxa" w:w="4320"/>
          </w:tcPr>
          <w:p>
            <w:r>
              <w:t>测算模型是否要带公式可编辑？</w:t>
            </w:r>
          </w:p>
        </w:tc>
        <w:tc>
          <w:tcPr>
            <w:tcW w:type="dxa" w:w="4896"/>
          </w:tcPr>
          <w:p>
            <w:r>
              <w:t>当前为静态值；若要客户自填需改模板。</w:t>
            </w:r>
          </w:p>
        </w:tc>
      </w:tr>
    </w:tbl>
    <w:p>
      <w:pPr>
        <w:pStyle w:val="Heading1"/>
      </w:pPr>
      <w:r>
        <w:t>十一、版本与里程碑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5760"/>
          </w:tcPr>
          <w:p>
            <w:r>
              <w:rPr>
                <w:b/>
              </w:rPr>
              <w:t>范围</w:t>
            </w:r>
          </w:p>
        </w:tc>
        <w:tc>
          <w:tcPr>
            <w:tcW w:type="dxa" w:w="2592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v1.0 MVP</w:t>
            </w:r>
          </w:p>
        </w:tc>
        <w:tc>
          <w:tcPr>
            <w:tcW w:type="dxa" w:w="5760"/>
          </w:tcPr>
          <w:p>
            <w:r>
              <w:t>F1–F9 全部核心闭环（本地、规则引擎兜底）</w:t>
            </w:r>
          </w:p>
        </w:tc>
        <w:tc>
          <w:tcPr>
            <w:tcW w:type="dxa" w:w="2592"/>
          </w:tcPr>
          <w:p>
            <w:r>
              <w:t>已实现并验证</w:t>
            </w:r>
          </w:p>
        </w:tc>
      </w:tr>
      <w:tr>
        <w:tc>
          <w:tcPr>
            <w:tcW w:type="dxa" w:w="1728"/>
          </w:tcPr>
          <w:p>
            <w:r>
              <w:t>v1.1</w:t>
            </w:r>
          </w:p>
        </w:tc>
        <w:tc>
          <w:tcPr>
            <w:tcW w:type="dxa" w:w="5760"/>
          </w:tcPr>
          <w:p>
            <w:r>
              <w:t>行业基准校准工具、报告模板自定义</w:t>
            </w:r>
          </w:p>
        </w:tc>
        <w:tc>
          <w:tcPr>
            <w:tcW w:type="dxa" w:w="2592"/>
          </w:tcPr>
          <w:p>
            <w:r>
              <w:t>规划</w:t>
            </w:r>
          </w:p>
        </w:tc>
      </w:tr>
      <w:tr>
        <w:tc>
          <w:tcPr>
            <w:tcW w:type="dxa" w:w="1728"/>
          </w:tcPr>
          <w:p>
            <w:r>
              <w:t>v2.0</w:t>
            </w:r>
          </w:p>
        </w:tc>
        <w:tc>
          <w:tcPr>
            <w:tcW w:type="dxa" w:w="5760"/>
          </w:tcPr>
          <w:p>
            <w:r>
              <w:t>OCR、多客户管理、直连财务系统、大模型深度润色</w:t>
            </w:r>
          </w:p>
        </w:tc>
        <w:tc>
          <w:tcPr>
            <w:tcW w:type="dxa" w:w="2592"/>
          </w:tcPr>
          <w:p>
            <w:r>
              <w:t>规划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