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黑体" w:hAnsi="黑体" w:eastAsia="黑体"/>
          <w:b/>
          <w:sz w:val="28"/>
        </w:rPr>
        <w:t>“挑战杯”大学生课外学术科技作品竞赛</w:t>
      </w:r>
    </w:p>
    <w:p>
      <w:pPr>
        <w:spacing w:after="120"/>
        <w:jc w:val="center"/>
      </w:pPr>
      <w:r>
        <w:rPr>
          <w:rFonts w:ascii="黑体" w:hAnsi="黑体" w:eastAsia="黑体"/>
          <w:b/>
          <w:sz w:val="28"/>
        </w:rPr>
        <w:t>申报材料正文</w:t>
      </w:r>
    </w:p>
    <w:p>
      <w:pPr>
        <w:spacing w:after="320"/>
        <w:jc w:val="center"/>
      </w:pPr>
      <w:r>
        <w:rPr>
          <w:rFonts w:ascii="黑体" w:hAnsi="黑体" w:eastAsia="黑体"/>
          <w:b/>
          <w:sz w:val="30"/>
        </w:rPr>
        <w:t>京师家教可信对接平台（微信小程序）</w:t>
      </w:r>
    </w:p>
    <w:p>
      <w:pPr>
        <w:keepNext/>
        <w:spacing w:before="240" w:after="200" w:line="360" w:lineRule="auto"/>
        <w:jc w:val="center"/>
      </w:pPr>
      <w:r>
        <w:rPr>
          <w:rFonts w:ascii="黑体" w:hAnsi="黑体" w:eastAsia="黑体"/>
          <w:b/>
          <w:sz w:val="32"/>
        </w:rPr>
        <w:t>一、作品简介</w:t>
      </w:r>
    </w:p>
    <w:p>
      <w:pPr>
        <w:spacing w:before="0" w:after="0"/>
        <w:ind w:firstLine="480"/>
      </w:pPr>
      <w:r>
        <w:rPr>
          <w:rFonts w:ascii="宋体" w:hAnsi="宋体" w:eastAsia="宋体"/>
          <w:b w:val="0"/>
          <w:sz w:val="24"/>
        </w:rPr>
        <w:t>《京师家教可信对接平台》是一款面向高校学生家教兼职与家长家教招聘场景的微信小程序。作品针对当前家教市场长期存在的“三无序”问题——资质无从核验、沟通无据可查、履约无凭可依，以“可信对接”为设计主线，构建了覆盖“认证—发布—匹配—撮合—履约—评价”的全链路闭环。</w:t>
      </w:r>
    </w:p>
    <w:p>
      <w:pPr>
        <w:spacing w:before="0" w:after="0"/>
        <w:ind w:firstLine="480"/>
      </w:pPr>
      <w:r>
        <w:rPr>
          <w:rFonts w:ascii="宋体" w:hAnsi="宋体" w:eastAsia="宋体"/>
          <w:b w:val="0"/>
          <w:sz w:val="24"/>
        </w:rPr>
        <w:t>作品已完成可运行的微信小程序原型：共 13 个页面、8 个自研组件、4 个服务模块、8 个云函数与 9 个数据集合，在不引入任何第三方组件库、不依赖 npm 构建的前提下，导入微信开发者工具即可运行。技术上形成了三项具有独立价值的设计：一是“七维可解释加权匹配引擎”，每一个推荐分数都同时产出一句用户能读懂的说明，且分值与解释同源；二是“双引擎内容风控”，将“双减”政策从关键词查表升级为“科目属性 × 时间属性 × 学段属性”三维规则推理，并按“硬拦截 / 强提示 / 仅提示”三级分层处置；三是“双向确认撮合状态机”，以双方共识而非单方抢占作为成单条件，从机制上消除“一个需求被多次占用”与“一对多悬空”两类冲突。</w:t>
      </w:r>
    </w:p>
    <w:p>
      <w:pPr>
        <w:spacing w:before="0" w:after="0"/>
        <w:ind w:firstLine="480"/>
      </w:pPr>
      <w:r>
        <w:rPr>
          <w:rFonts w:ascii="宋体" w:hAnsi="宋体" w:eastAsia="宋体"/>
          <w:b w:val="0"/>
          <w:sz w:val="24"/>
        </w:rPr>
        <w:t>在工程科学性方面，作品的匹配权重、风控规则、状态流转均为代码中的具名常量，并配有可执行的自动化验证脚本，其中前后端双减规则的 8 组用例比对要求差异必须为 0；6 位学生的逐维度评分明细与复算命令已写入数据字典文档，任何第三方可独立复算推荐结果。作品同时如实标注了当前边界（匹配为子串级关键词匹配而非语义匹配、内容风控尚未覆盖评价与打卡小结等自由文本链路），并给出了明确的后续迭代路径。</w:t>
      </w:r>
    </w:p>
    <w:p>
      <w:pPr>
        <w:keepNext/>
        <w:spacing w:before="240" w:after="200" w:line="360" w:lineRule="auto"/>
        <w:jc w:val="center"/>
      </w:pPr>
      <w:r>
        <w:rPr>
          <w:rFonts w:ascii="黑体" w:hAnsi="黑体" w:eastAsia="黑体"/>
          <w:b/>
          <w:sz w:val="32"/>
        </w:rPr>
        <w:t>二、目的与思路</w:t>
      </w:r>
    </w:p>
    <w:p>
      <w:pPr>
        <w:keepNext/>
        <w:spacing w:before="240" w:after="120" w:line="360" w:lineRule="auto"/>
        <w:jc w:val="left"/>
      </w:pPr>
      <w:r>
        <w:rPr>
          <w:rFonts w:ascii="黑体" w:hAnsi="黑体" w:eastAsia="黑体"/>
          <w:b/>
          <w:sz w:val="28"/>
        </w:rPr>
        <w:t>（一）立项背景与现实需求</w:t>
      </w:r>
    </w:p>
    <w:p>
      <w:pPr>
        <w:spacing w:before="0" w:after="0"/>
        <w:ind w:firstLine="480"/>
      </w:pPr>
      <w:r>
        <w:rPr>
          <w:rFonts w:ascii="宋体" w:hAnsi="宋体" w:eastAsia="宋体"/>
          <w:b w:val="0"/>
          <w:sz w:val="24"/>
        </w:rPr>
        <w:t>家教是大学生最主要的勤工助学渠道之一，也是家长改善子女学业的重要选择。但这一市场长期呈现高度分散、缺乏中介规范的状态，供需双方都处于信息劣势。项目组在需求分析阶段归纳出四个真实痛点：</w:t>
      </w:r>
    </w:p>
    <w:p>
      <w:pPr>
        <w:spacing w:after="40"/>
        <w:ind w:left="480" w:hanging="240"/>
      </w:pPr>
      <w:r>
        <w:rPr>
          <w:rFonts w:ascii="宋体" w:hAnsi="宋体" w:eastAsia="宋体"/>
          <w:sz w:val="24"/>
        </w:rPr>
        <w:t>· 学生端“怕被骗”。押金、保证金、服装费、体检费、培训贷等收费陷阱在兼职市场屡见不鲜，学生往往缺乏识别经验。</w:t>
      </w:r>
    </w:p>
    <w:p>
      <w:pPr>
        <w:spacing w:after="40"/>
        <w:ind w:left="480" w:hanging="240"/>
      </w:pPr>
      <w:r>
        <w:rPr>
          <w:rFonts w:ascii="宋体" w:hAnsi="宋体" w:eastAsia="宋体"/>
          <w:sz w:val="24"/>
        </w:rPr>
        <w:t>· 家长端“怕不靠谱”。家长难以核验家教的真实身份、学校、专业与教学能力，也无法判断对方是否具备带相应学段学生的经验。</w:t>
      </w:r>
    </w:p>
    <w:p>
      <w:pPr>
        <w:spacing w:after="40"/>
        <w:ind w:left="480" w:hanging="240"/>
      </w:pPr>
      <w:r>
        <w:rPr>
          <w:rFonts w:ascii="宋体" w:hAnsi="宋体" w:eastAsia="宋体"/>
          <w:sz w:val="24"/>
        </w:rPr>
        <w:t>· 撮合端“怕扯皮”。口头约定的课时、价格、时间缺乏书面凭据，一旦发生纠纷，双方各执一词，无从追溯。</w:t>
      </w:r>
    </w:p>
    <w:p>
      <w:pPr>
        <w:spacing w:after="40"/>
        <w:ind w:left="480" w:hanging="240"/>
      </w:pPr>
      <w:r>
        <w:rPr>
          <w:rFonts w:ascii="宋体" w:hAnsi="宋体" w:eastAsia="宋体"/>
          <w:sz w:val="24"/>
        </w:rPr>
        <w:t>· 合规端“怕踩线”。“双减”政策对学科类培训的时间、学段有明确限制，而非专业运营者的家长与学生并不熟悉政策边界，容易在无意识中发布或承接违规需求。</w:t>
      </w:r>
    </w:p>
    <w:p>
      <w:pPr>
        <w:spacing w:before="0" w:after="0"/>
        <w:ind w:firstLine="480"/>
      </w:pPr>
      <w:r>
        <w:rPr>
          <w:rFonts w:ascii="宋体" w:hAnsi="宋体" w:eastAsia="宋体"/>
          <w:b w:val="0"/>
          <w:sz w:val="24"/>
        </w:rPr>
        <w:t>针对上述痛点，作品的立项目的可以概括为：在不改变家教“个人零星撮合”性质、不触碰资金与办学资质红线的前提下，用技术手段把“可信”这一抽象目标拆解为可工程化实现的四件事——身份可核验、规则可执行、过程可追溯、结果可解释。</w:t>
      </w:r>
    </w:p>
    <w:p>
      <w:pPr>
        <w:keepNext/>
        <w:spacing w:before="240" w:after="120" w:line="360" w:lineRule="auto"/>
        <w:jc w:val="left"/>
      </w:pPr>
      <w:r>
        <w:rPr>
          <w:rFonts w:ascii="黑体" w:hAnsi="黑体" w:eastAsia="黑体"/>
          <w:b/>
          <w:sz w:val="28"/>
        </w:rPr>
        <w:t>（二）总体设计思路</w:t>
      </w:r>
    </w:p>
    <w:p>
      <w:pPr>
        <w:spacing w:before="0" w:after="0"/>
        <w:ind w:firstLine="480"/>
      </w:pPr>
      <w:r>
        <w:rPr>
          <w:rFonts w:ascii="宋体" w:hAnsi="宋体" w:eastAsia="宋体"/>
          <w:b w:val="0"/>
          <w:sz w:val="24"/>
        </w:rPr>
        <w:t>作品采用“前端表现层 → 服务编排层 → 云函数/数据层”的三段式架构，并在中间设置一道强制收敛点：全部 13 个页面与 8 个组件只能通过统一的服务网关访问数据，禁止页面直接读写本地存储或直接调用云开发接口。这一约束并非注释约定，而是由工程校验脚本中的“架构约束”自检项强制执行，使“数据从哪来”在全项目内只有一个答案，避免了小程序项目中常见的多数据源分裂问题。</w:t>
      </w:r>
    </w:p>
    <w:p>
      <w:pPr>
        <w:spacing w:before="0" w:after="0"/>
        <w:ind w:firstLine="480"/>
      </w:pPr>
      <w:r>
        <w:rPr>
          <w:rFonts w:ascii="宋体" w:hAnsi="宋体" w:eastAsia="宋体"/>
          <w:b w:val="0"/>
          <w:sz w:val="24"/>
        </w:rPr>
        <w:t>在业务主线上，作品将家教对接拆解为六个阶段，每个阶段都对应一套可验证的技术机制：</w:t>
      </w:r>
    </w:p>
    <w:tbl>
      <w:tblPr>
        <w:tblStyle w:val="TableGrid"/>
        <w:tblW w:type="dxa" w:w="8730"/>
        <w:jc w:val="center"/>
        <w:tblLayout w:type="fixed"/>
        <w:tblLook w:firstColumn="1" w:firstRow="1" w:lastColumn="0" w:lastRow="0" w:noHBand="0" w:noVBand="1" w:val="04A0"/>
      </w:tblPr>
      <w:tblGrid>
        <w:gridCol w:w="1247"/>
        <w:gridCol w:w="2041"/>
        <w:gridCol w:w="3515"/>
        <w:gridCol w:w="1928"/>
      </w:tblGrid>
      <w:tr>
        <w:tc>
          <w:tcPr>
            <w:tcW w:type="dxa" w:w="1247"/>
            <w:shd w:val="clear" w:color="auto" w:fill="F2F4F8"/>
          </w:tcPr>
          <w:p>
            <w:pPr>
              <w:spacing w:after="40" w:line="276" w:lineRule="auto"/>
              <w:jc w:val="center"/>
            </w:pPr>
            <w:r/>
            <w:r>
              <w:rPr>
                <w:rFonts w:ascii="黑体" w:hAnsi="黑体" w:eastAsia="黑体"/>
                <w:b/>
                <w:sz w:val="20"/>
              </w:rPr>
              <w:t>阶段</w:t>
            </w:r>
          </w:p>
        </w:tc>
        <w:tc>
          <w:tcPr>
            <w:tcW w:type="dxa" w:w="2041"/>
            <w:shd w:val="clear" w:color="auto" w:fill="F2F4F8"/>
          </w:tcPr>
          <w:p>
            <w:pPr>
              <w:spacing w:after="40" w:line="276" w:lineRule="auto"/>
              <w:jc w:val="center"/>
            </w:pPr>
            <w:r/>
            <w:r>
              <w:rPr>
                <w:rFonts w:ascii="黑体" w:hAnsi="黑体" w:eastAsia="黑体"/>
                <w:b/>
                <w:sz w:val="20"/>
              </w:rPr>
              <w:t>用户动作</w:t>
            </w:r>
          </w:p>
        </w:tc>
        <w:tc>
          <w:tcPr>
            <w:tcW w:type="dxa" w:w="3515"/>
            <w:shd w:val="clear" w:color="auto" w:fill="F2F4F8"/>
          </w:tcPr>
          <w:p>
            <w:pPr>
              <w:spacing w:after="40" w:line="276" w:lineRule="auto"/>
              <w:jc w:val="center"/>
            </w:pPr>
            <w:r/>
            <w:r>
              <w:rPr>
                <w:rFonts w:ascii="黑体" w:hAnsi="黑体" w:eastAsia="黑体"/>
                <w:b/>
                <w:sz w:val="20"/>
              </w:rPr>
              <w:t>技术机制</w:t>
            </w:r>
          </w:p>
        </w:tc>
        <w:tc>
          <w:tcPr>
            <w:tcW w:type="dxa" w:w="1928"/>
            <w:shd w:val="clear" w:color="auto" w:fill="F2F4F8"/>
          </w:tcPr>
          <w:p>
            <w:pPr>
              <w:spacing w:after="40" w:line="276" w:lineRule="auto"/>
              <w:jc w:val="center"/>
            </w:pPr>
            <w:r/>
            <w:r>
              <w:rPr>
                <w:rFonts w:ascii="黑体" w:hAnsi="黑体" w:eastAsia="黑体"/>
                <w:b/>
                <w:sz w:val="20"/>
              </w:rPr>
              <w:t>解决的痛点</w:t>
            </w:r>
          </w:p>
        </w:tc>
      </w:tr>
      <w:tr>
        <w:tc>
          <w:tcPr>
            <w:tcW w:type="dxa" w:w="1247"/>
          </w:tcPr>
          <w:p>
            <w:pPr>
              <w:spacing w:after="40" w:line="276" w:lineRule="auto"/>
              <w:jc w:val="center"/>
            </w:pPr>
            <w:r/>
            <w:r>
              <w:rPr>
                <w:rFonts w:ascii="宋体" w:hAnsi="宋体" w:eastAsia="宋体"/>
                <w:sz w:val="20"/>
              </w:rPr>
              <w:t>认证</w:t>
            </w:r>
          </w:p>
        </w:tc>
        <w:tc>
          <w:tcPr>
            <w:tcW w:type="dxa" w:w="2041"/>
          </w:tcPr>
          <w:p>
            <w:pPr>
              <w:spacing w:after="40" w:line="276" w:lineRule="auto"/>
            </w:pPr>
            <w:r/>
            <w:r>
              <w:rPr>
                <w:rFonts w:ascii="宋体" w:hAnsi="宋体" w:eastAsia="宋体"/>
                <w:sz w:val="20"/>
              </w:rPr>
              <w:t>学生提交学籍/资质/能力材料</w:t>
            </w:r>
          </w:p>
        </w:tc>
        <w:tc>
          <w:tcPr>
            <w:tcW w:type="dxa" w:w="3515"/>
          </w:tcPr>
          <w:p>
            <w:pPr>
              <w:spacing w:after="40" w:line="276" w:lineRule="auto"/>
            </w:pPr>
            <w:r/>
            <w:r>
              <w:rPr>
                <w:rFonts w:ascii="宋体" w:hAnsi="宋体" w:eastAsia="宋体"/>
                <w:sz w:val="20"/>
              </w:rPr>
              <w:t>三重认证 + 认证编号可核验 + 仓储层脱敏</w:t>
            </w:r>
          </w:p>
        </w:tc>
        <w:tc>
          <w:tcPr>
            <w:tcW w:type="dxa" w:w="1928"/>
          </w:tcPr>
          <w:p>
            <w:pPr>
              <w:spacing w:after="40" w:line="276" w:lineRule="auto"/>
            </w:pPr>
            <w:r/>
            <w:r>
              <w:rPr>
                <w:rFonts w:ascii="宋体" w:hAnsi="宋体" w:eastAsia="宋体"/>
                <w:sz w:val="20"/>
              </w:rPr>
              <w:t>家长无法核验身份</w:t>
            </w:r>
          </w:p>
        </w:tc>
      </w:tr>
      <w:tr>
        <w:tc>
          <w:tcPr>
            <w:tcW w:type="dxa" w:w="1247"/>
          </w:tcPr>
          <w:p>
            <w:pPr>
              <w:spacing w:after="40" w:line="276" w:lineRule="auto"/>
              <w:jc w:val="center"/>
            </w:pPr>
            <w:r/>
            <w:r>
              <w:rPr>
                <w:rFonts w:ascii="宋体" w:hAnsi="宋体" w:eastAsia="宋体"/>
                <w:sz w:val="20"/>
              </w:rPr>
              <w:t>发布</w:t>
            </w:r>
          </w:p>
        </w:tc>
        <w:tc>
          <w:tcPr>
            <w:tcW w:type="dxa" w:w="2041"/>
          </w:tcPr>
          <w:p>
            <w:pPr>
              <w:spacing w:after="40" w:line="276" w:lineRule="auto"/>
            </w:pPr>
            <w:r/>
            <w:r>
              <w:rPr>
                <w:rFonts w:ascii="宋体" w:hAnsi="宋体" w:eastAsia="宋体"/>
                <w:sz w:val="20"/>
              </w:rPr>
              <w:t>家长填写需求并提交</w:t>
            </w:r>
          </w:p>
        </w:tc>
        <w:tc>
          <w:tcPr>
            <w:tcW w:type="dxa" w:w="3515"/>
          </w:tcPr>
          <w:p>
            <w:pPr>
              <w:spacing w:after="40" w:line="276" w:lineRule="auto"/>
            </w:pPr>
            <w:r/>
            <w:r>
              <w:rPr>
                <w:rFonts w:ascii="宋体" w:hAnsi="宋体" w:eastAsia="宋体"/>
                <w:sz w:val="20"/>
              </w:rPr>
              <w:t>双减结构化规则 + 风险词双引擎，三级处置</w:t>
            </w:r>
          </w:p>
        </w:tc>
        <w:tc>
          <w:tcPr>
            <w:tcW w:type="dxa" w:w="1928"/>
          </w:tcPr>
          <w:p>
            <w:pPr>
              <w:spacing w:after="40" w:line="276" w:lineRule="auto"/>
            </w:pPr>
            <w:r/>
            <w:r>
              <w:rPr>
                <w:rFonts w:ascii="宋体" w:hAnsi="宋体" w:eastAsia="宋体"/>
                <w:sz w:val="20"/>
              </w:rPr>
              <w:t>无意发布违规需求</w:t>
            </w:r>
          </w:p>
        </w:tc>
      </w:tr>
      <w:tr>
        <w:tc>
          <w:tcPr>
            <w:tcW w:type="dxa" w:w="1247"/>
          </w:tcPr>
          <w:p>
            <w:pPr>
              <w:spacing w:after="40" w:line="276" w:lineRule="auto"/>
              <w:jc w:val="center"/>
            </w:pPr>
            <w:r/>
            <w:r>
              <w:rPr>
                <w:rFonts w:ascii="宋体" w:hAnsi="宋体" w:eastAsia="宋体"/>
                <w:sz w:val="20"/>
              </w:rPr>
              <w:t>匹配</w:t>
            </w:r>
          </w:p>
        </w:tc>
        <w:tc>
          <w:tcPr>
            <w:tcW w:type="dxa" w:w="2041"/>
          </w:tcPr>
          <w:p>
            <w:pPr>
              <w:spacing w:after="40" w:line="276" w:lineRule="auto"/>
            </w:pPr>
            <w:r/>
            <w:r>
              <w:rPr>
                <w:rFonts w:ascii="宋体" w:hAnsi="宋体" w:eastAsia="宋体"/>
                <w:sz w:val="20"/>
              </w:rPr>
              <w:t>家长查看推荐结果</w:t>
            </w:r>
          </w:p>
        </w:tc>
        <w:tc>
          <w:tcPr>
            <w:tcW w:type="dxa" w:w="3515"/>
          </w:tcPr>
          <w:p>
            <w:pPr>
              <w:spacing w:after="40" w:line="276" w:lineRule="auto"/>
            </w:pPr>
            <w:r/>
            <w:r>
              <w:rPr>
                <w:rFonts w:ascii="宋体" w:hAnsi="宋体" w:eastAsia="宋体"/>
                <w:sz w:val="20"/>
              </w:rPr>
              <w:t>七维可加权打分，逐维产出可读说明</w:t>
            </w:r>
          </w:p>
        </w:tc>
        <w:tc>
          <w:tcPr>
            <w:tcW w:type="dxa" w:w="1928"/>
          </w:tcPr>
          <w:p>
            <w:pPr>
              <w:spacing w:after="40" w:line="276" w:lineRule="auto"/>
            </w:pPr>
            <w:r/>
            <w:r>
              <w:rPr>
                <w:rFonts w:ascii="宋体" w:hAnsi="宋体" w:eastAsia="宋体"/>
                <w:sz w:val="20"/>
              </w:rPr>
              <w:t>推荐不可解释</w:t>
            </w:r>
          </w:p>
        </w:tc>
      </w:tr>
      <w:tr>
        <w:tc>
          <w:tcPr>
            <w:tcW w:type="dxa" w:w="1247"/>
          </w:tcPr>
          <w:p>
            <w:pPr>
              <w:spacing w:after="40" w:line="276" w:lineRule="auto"/>
              <w:jc w:val="center"/>
            </w:pPr>
            <w:r/>
            <w:r>
              <w:rPr>
                <w:rFonts w:ascii="宋体" w:hAnsi="宋体" w:eastAsia="宋体"/>
                <w:sz w:val="20"/>
              </w:rPr>
              <w:t>撮合</w:t>
            </w:r>
          </w:p>
        </w:tc>
        <w:tc>
          <w:tcPr>
            <w:tcW w:type="dxa" w:w="2041"/>
          </w:tcPr>
          <w:p>
            <w:pPr>
              <w:spacing w:after="40" w:line="276" w:lineRule="auto"/>
            </w:pPr>
            <w:r/>
            <w:r>
              <w:rPr>
                <w:rFonts w:ascii="宋体" w:hAnsi="宋体" w:eastAsia="宋体"/>
                <w:sz w:val="20"/>
              </w:rPr>
              <w:t>双方沟通后分别确认</w:t>
            </w:r>
          </w:p>
        </w:tc>
        <w:tc>
          <w:tcPr>
            <w:tcW w:type="dxa" w:w="3515"/>
          </w:tcPr>
          <w:p>
            <w:pPr>
              <w:spacing w:after="40" w:line="276" w:lineRule="auto"/>
            </w:pPr>
            <w:r/>
            <w:r>
              <w:rPr>
                <w:rFonts w:ascii="宋体" w:hAnsi="宋体" w:eastAsia="宋体"/>
                <w:sz w:val="20"/>
              </w:rPr>
              <w:t>双向确认状态机，共识达成才成单</w:t>
            </w:r>
          </w:p>
        </w:tc>
        <w:tc>
          <w:tcPr>
            <w:tcW w:type="dxa" w:w="1928"/>
          </w:tcPr>
          <w:p>
            <w:pPr>
              <w:spacing w:after="40" w:line="276" w:lineRule="auto"/>
            </w:pPr>
            <w:r/>
            <w:r>
              <w:rPr>
                <w:rFonts w:ascii="宋体" w:hAnsi="宋体" w:eastAsia="宋体"/>
                <w:sz w:val="20"/>
              </w:rPr>
              <w:t>抢占与扯皮</w:t>
            </w:r>
          </w:p>
        </w:tc>
      </w:tr>
      <w:tr>
        <w:tc>
          <w:tcPr>
            <w:tcW w:type="dxa" w:w="1247"/>
          </w:tcPr>
          <w:p>
            <w:pPr>
              <w:spacing w:after="40" w:line="276" w:lineRule="auto"/>
              <w:jc w:val="center"/>
            </w:pPr>
            <w:r/>
            <w:r>
              <w:rPr>
                <w:rFonts w:ascii="宋体" w:hAnsi="宋体" w:eastAsia="宋体"/>
                <w:sz w:val="20"/>
              </w:rPr>
              <w:t>履约</w:t>
            </w:r>
          </w:p>
        </w:tc>
        <w:tc>
          <w:tcPr>
            <w:tcW w:type="dxa" w:w="2041"/>
          </w:tcPr>
          <w:p>
            <w:pPr>
              <w:spacing w:after="40" w:line="276" w:lineRule="auto"/>
            </w:pPr>
            <w:r/>
            <w:r>
              <w:rPr>
                <w:rFonts w:ascii="宋体" w:hAnsi="宋体" w:eastAsia="宋体"/>
                <w:sz w:val="20"/>
              </w:rPr>
              <w:t>上课打卡 + 课后小结</w:t>
            </w:r>
          </w:p>
        </w:tc>
        <w:tc>
          <w:tcPr>
            <w:tcW w:type="dxa" w:w="3515"/>
          </w:tcPr>
          <w:p>
            <w:pPr>
              <w:spacing w:after="40" w:line="276" w:lineRule="auto"/>
            </w:pPr>
            <w:r/>
            <w:r>
              <w:rPr>
                <w:rFonts w:ascii="宋体" w:hAnsi="宋体" w:eastAsia="宋体"/>
                <w:sz w:val="20"/>
              </w:rPr>
              <w:t>四态状态机，幂等打卡，小结字数双向校验</w:t>
            </w:r>
          </w:p>
        </w:tc>
        <w:tc>
          <w:tcPr>
            <w:tcW w:type="dxa" w:w="1928"/>
          </w:tcPr>
          <w:p>
            <w:pPr>
              <w:spacing w:after="40" w:line="276" w:lineRule="auto"/>
            </w:pPr>
            <w:r/>
            <w:r>
              <w:rPr>
                <w:rFonts w:ascii="宋体" w:hAnsi="宋体" w:eastAsia="宋体"/>
                <w:sz w:val="20"/>
              </w:rPr>
              <w:t>过程无凭据</w:t>
            </w:r>
          </w:p>
        </w:tc>
      </w:tr>
      <w:tr>
        <w:tc>
          <w:tcPr>
            <w:tcW w:type="dxa" w:w="1247"/>
          </w:tcPr>
          <w:p>
            <w:pPr>
              <w:spacing w:after="40" w:line="276" w:lineRule="auto"/>
              <w:jc w:val="center"/>
            </w:pPr>
            <w:r/>
            <w:r>
              <w:rPr>
                <w:rFonts w:ascii="宋体" w:hAnsi="宋体" w:eastAsia="宋体"/>
                <w:sz w:val="20"/>
              </w:rPr>
              <w:t>评价</w:t>
            </w:r>
          </w:p>
        </w:tc>
        <w:tc>
          <w:tcPr>
            <w:tcW w:type="dxa" w:w="2041"/>
          </w:tcPr>
          <w:p>
            <w:pPr>
              <w:spacing w:after="40" w:line="276" w:lineRule="auto"/>
            </w:pPr>
            <w:r/>
            <w:r>
              <w:rPr>
                <w:rFonts w:ascii="宋体" w:hAnsi="宋体" w:eastAsia="宋体"/>
                <w:sz w:val="20"/>
              </w:rPr>
              <w:t>双方盲评</w:t>
            </w:r>
          </w:p>
        </w:tc>
        <w:tc>
          <w:tcPr>
            <w:tcW w:type="dxa" w:w="3515"/>
          </w:tcPr>
          <w:p>
            <w:pPr>
              <w:spacing w:after="40" w:line="276" w:lineRule="auto"/>
            </w:pPr>
            <w:r/>
            <w:r>
              <w:rPr>
                <w:rFonts w:ascii="宋体" w:hAnsi="宋体" w:eastAsia="宋体"/>
                <w:sz w:val="20"/>
              </w:rPr>
              <w:t>信息隔离不变量，揭晓权唯一在服务端</w:t>
            </w:r>
          </w:p>
        </w:tc>
        <w:tc>
          <w:tcPr>
            <w:tcW w:type="dxa" w:w="1928"/>
          </w:tcPr>
          <w:p>
            <w:pPr>
              <w:spacing w:after="40" w:line="276" w:lineRule="auto"/>
            </w:pPr>
            <w:r/>
            <w:r>
              <w:rPr>
                <w:rFonts w:ascii="宋体" w:hAnsi="宋体" w:eastAsia="宋体"/>
                <w:sz w:val="20"/>
              </w:rPr>
              <w:t>评价互相影响</w:t>
            </w:r>
          </w:p>
        </w:tc>
      </w:tr>
    </w:tbl>
    <w:p>
      <w:pPr>
        <w:spacing w:before="80" w:after="160"/>
        <w:jc w:val="center"/>
      </w:pPr>
      <w:r>
        <w:rPr>
          <w:rFonts w:ascii="黑体" w:hAnsi="黑体" w:eastAsia="黑体"/>
          <w:b/>
          <w:sz w:val="21"/>
        </w:rPr>
        <w:t>表 1  家教对接六阶段与对应技术机制</w:t>
      </w:r>
    </w:p>
    <w:p>
      <w:pPr>
        <w:keepNext/>
        <w:spacing w:before="240" w:after="120" w:line="360" w:lineRule="auto"/>
        <w:jc w:val="left"/>
      </w:pPr>
      <w:r>
        <w:rPr>
          <w:rFonts w:ascii="黑体" w:hAnsi="黑体" w:eastAsia="黑体"/>
          <w:b/>
          <w:sz w:val="28"/>
        </w:rPr>
        <w:t>（三）技术路线选择的三条原则</w:t>
      </w:r>
    </w:p>
    <w:p>
      <w:pPr>
        <w:spacing w:before="0" w:after="0"/>
        <w:ind w:firstLine="480"/>
      </w:pPr>
      <w:r>
        <w:rPr>
          <w:rFonts w:ascii="宋体" w:hAnsi="宋体" w:eastAsia="宋体"/>
          <w:b w:val="0"/>
          <w:sz w:val="24"/>
        </w:rPr>
        <w:t>第一，规则优先于模型。家教撮合的核心判断（科目是否对口、学段是否匹配、时间能否排开、价格是否合适）本身是强规则的，用可复算的加权规则比用黑箱模型更适合这一场景，也更符合竞赛作品对“可验证性”的要求。因此作品的匹配引擎与报告生成均为纯规则引擎，不接入大模型，报告摘要由模板拼接而非模型生成。</w:t>
      </w:r>
    </w:p>
    <w:p>
      <w:pPr>
        <w:spacing w:before="0" w:after="0"/>
        <w:ind w:firstLine="480"/>
      </w:pPr>
      <w:r>
        <w:rPr>
          <w:rFonts w:ascii="宋体" w:hAnsi="宋体" w:eastAsia="宋体"/>
          <w:b w:val="0"/>
          <w:sz w:val="24"/>
        </w:rPr>
        <w:t>第二，宁可显式失败，也不静默降级。作品设计了云开发与本地两套数据模式，通过一个编译期开关切换。当处于云模式而某些接口尚未接线时，代码选择直接返回明确的“暂未实现”错误，而不是悄悄回落到本地数据。这样做的理由写在代码注释中：会造成“云端需求 + 本地打卡”的静默数据错乱，比直接报错更难排查。</w:t>
      </w:r>
    </w:p>
    <w:p>
      <w:pPr>
        <w:spacing w:before="0" w:after="0"/>
        <w:ind w:firstLine="480"/>
      </w:pPr>
      <w:r>
        <w:rPr>
          <w:rFonts w:ascii="宋体" w:hAnsi="宋体" w:eastAsia="宋体"/>
          <w:b w:val="0"/>
          <w:sz w:val="24"/>
        </w:rPr>
        <w:t>第三，把合规声明变成基础设施。作品将“本平台仅为个人零星家教信息撮合，非培训机构，不提供固定办学场所”这一平台性质声明封装为全局注册的组件，被 12 个页面复用，并提供紧凑、完整、内联三种呈现形态。由此，“是否在办培训机构”这一合规风险从单个页面的文案问题，变成了全域生效的基础设施。</w:t>
      </w:r>
    </w:p>
    <w:p>
      <w:pPr>
        <w:keepNext/>
        <w:spacing w:before="240" w:after="200" w:line="360" w:lineRule="auto"/>
        <w:jc w:val="center"/>
      </w:pPr>
      <w:r>
        <w:rPr>
          <w:rFonts w:ascii="黑体" w:hAnsi="黑体" w:eastAsia="黑体"/>
          <w:b/>
          <w:sz w:val="32"/>
        </w:rPr>
        <w:t>三、创新点</w:t>
      </w:r>
    </w:p>
    <w:p>
      <w:pPr>
        <w:spacing w:before="0" w:after="0"/>
        <w:ind w:firstLine="480"/>
      </w:pPr>
      <w:r>
        <w:rPr>
          <w:rFonts w:ascii="宋体" w:hAnsi="宋体" w:eastAsia="宋体"/>
          <w:b w:val="0"/>
          <w:sz w:val="24"/>
        </w:rPr>
        <w:t>作品的创新可归纳为“一个撮合范式、两项规则引擎、三处工程治理”。以下分别说明，并给出对应的技术依据。</w:t>
      </w:r>
    </w:p>
    <w:p>
      <w:pPr>
        <w:keepNext/>
        <w:spacing w:before="240" w:after="120" w:line="360" w:lineRule="auto"/>
        <w:jc w:val="left"/>
      </w:pPr>
      <w:r>
        <w:rPr>
          <w:rFonts w:ascii="黑体" w:hAnsi="黑体" w:eastAsia="黑体"/>
          <w:b/>
          <w:sz w:val="28"/>
        </w:rPr>
        <w:t>（一）撮合范式创新：以“共识”替代“抢占”</w:t>
      </w:r>
    </w:p>
    <w:p>
      <w:pPr>
        <w:spacing w:before="0" w:after="0"/>
        <w:ind w:firstLine="480"/>
      </w:pPr>
      <w:r>
        <w:rPr>
          <w:rFonts w:ascii="宋体" w:hAnsi="宋体" w:eastAsia="宋体"/>
          <w:b w:val="0"/>
          <w:sz w:val="24"/>
        </w:rPr>
        <w:t>常规家教平台的做法是家长一键选定或先到先得。这两种做法存在一个共同缺陷：在“一个需求对应多位候选人”的场景下，只要有一方单方面确认，需求就可能被多次占用，或者出现“多个候选人都在等答复”的悬空状态。</w:t>
      </w:r>
    </w:p>
    <w:p>
      <w:pPr>
        <w:spacing w:before="0" w:after="0"/>
        <w:ind w:firstLine="480"/>
      </w:pPr>
      <w:r>
        <w:rPr>
          <w:rFonts w:ascii="宋体" w:hAnsi="宋体" w:eastAsia="宋体"/>
          <w:b w:val="0"/>
          <w:sz w:val="24"/>
        </w:rPr>
        <w:t>作品将撮合落地条件改为双向确认：学生点击“确认接单”只写入自己的确认标记，家长点击“确认雇佣”只写入自己的确认标记，两个布尔值同时为真时，服务端才在一个原子操作中把需求状态置为“已匹配”，并把同一需求下其余全部投递批量置为“已拒绝”，同时向会话写入系统消息“双方已达成共识，正式匹配成功！”。代码注释给出的设计依据是：“家长可能同时和多个学生沟通，若学生单方点击就成单，会造成一个需求被多次占用。双向确认是撮合的最小安全集。”</w:t>
      </w:r>
    </w:p>
    <w:p>
      <w:pPr>
        <w:spacing w:before="0" w:after="0"/>
        <w:ind w:firstLine="480"/>
      </w:pPr>
      <w:r>
        <w:rPr>
          <w:rFonts w:ascii="宋体" w:hAnsi="宋体" w:eastAsia="宋体"/>
          <w:b w:val="0"/>
          <w:sz w:val="24"/>
        </w:rPr>
        <w:t>与之配套，作品彻底移除了家长端的“一键成单”入口，原接口被显式标注为仅内部使用，并在页面层写明“家长端一键成单入口已彻底删除，页面不得再调用”。这一处“减法”使撮合路径唯一：所有成单都必须经过沟通与双方确认。</w:t>
      </w:r>
    </w:p>
    <w:p>
      <w:pPr>
        <w:keepNext/>
        <w:spacing w:before="240" w:after="120" w:line="360" w:lineRule="auto"/>
        <w:jc w:val="left"/>
      </w:pPr>
      <w:r>
        <w:rPr>
          <w:rFonts w:ascii="黑体" w:hAnsi="黑体" w:eastAsia="黑体"/>
          <w:b/>
          <w:sz w:val="28"/>
        </w:rPr>
        <w:t>（二）规则引擎创新之一：双减政策从“查表”到“推理”</w:t>
      </w:r>
    </w:p>
    <w:p>
      <w:pPr>
        <w:spacing w:before="0" w:after="0"/>
        <w:ind w:firstLine="480"/>
      </w:pPr>
      <w:r>
        <w:rPr>
          <w:rFonts w:ascii="宋体" w:hAnsi="宋体" w:eastAsia="宋体"/>
          <w:b w:val="0"/>
          <w:sz w:val="24"/>
        </w:rPr>
        <w:t>常规做法是在敏感词库中加入“周末补课”“节假日补课”等词条。这种做法有两个明显漏洞：一是用户可以换一种表述绕过；二是用户如果在下拉框里选择“工作日”、却在备注里写“周六”，纯词库匹配也无法关联到时间属性上。</w:t>
      </w:r>
    </w:p>
    <w:p>
      <w:pPr>
        <w:spacing w:before="0" w:after="0"/>
        <w:ind w:firstLine="480"/>
      </w:pPr>
      <w:r>
        <w:rPr>
          <w:rFonts w:ascii="宋体" w:hAnsi="宋体" w:eastAsia="宋体"/>
          <w:b w:val="0"/>
          <w:sz w:val="24"/>
        </w:rPr>
        <w:t>作品将双减政策编码为“科目属性 × 时间属性 × 学段属性”三维特征空间上的两条结构化规则：规则一为“学科类科目 × 休息日/节假日/寒暑假”；规则二为“学龄前/幼小衔接 × 休息日 × 学科类（含全科）”。其中“休息日”的判定采用双通道或运算：结构化通道检查用户选择的时段是否落入休息日值域，文本通道扫描备注中的 11 个休息日关键词（周末、周六、周日、双休、节假日、法定节假日、寒暑假、寒假、暑假、假期、小长假），任一命中即判为休息日。代码注释说明了这一设计的意图：“防止用户绕过下拉框，例如选了工作日但备注写周末。”</w:t>
      </w:r>
    </w:p>
    <w:p>
      <w:pPr>
        <w:spacing w:before="0" w:after="0"/>
        <w:ind w:firstLine="480"/>
      </w:pPr>
      <w:r>
        <w:rPr>
          <w:rFonts w:ascii="宋体" w:hAnsi="宋体" w:eastAsia="宋体"/>
          <w:b w:val="0"/>
          <w:sz w:val="24"/>
        </w:rPr>
        <w:t>更深一层的“防绕过”放在服务端：服务端不信任客户端对科目属性的声明，当科目字典判定为学科类时，即使家长显式选择了“非学科类”，仍强制按学科类处理（注释标注“宁严勿宽”）。这一处理把防绕过从交互层下沉到了数据处理层。</w:t>
      </w:r>
    </w:p>
    <w:p>
      <w:pPr>
        <w:spacing w:before="0" w:after="0"/>
        <w:ind w:firstLine="480"/>
      </w:pPr>
      <w:r>
        <w:rPr>
          <w:rFonts w:ascii="宋体" w:hAnsi="宋体" w:eastAsia="宋体"/>
          <w:b w:val="0"/>
          <w:sz w:val="24"/>
        </w:rPr>
        <w:t>规则推理的另一收益是可解释。命中时系统生成最多四类中文证据（学科类科目、学龄前学段、休息日时段、文本命中时段词），前端逐条编号展示，使家长能明白“为什么被拦”，而不是收到一句笼统的“内容违规”。</w:t>
      </w:r>
    </w:p>
    <w:p>
      <w:pPr>
        <w:keepNext/>
        <w:spacing w:before="240" w:after="120" w:line="360" w:lineRule="auto"/>
        <w:jc w:val="left"/>
      </w:pPr>
      <w:r>
        <w:rPr>
          <w:rFonts w:ascii="黑体" w:hAnsi="黑体" w:eastAsia="黑体"/>
          <w:b/>
          <w:sz w:val="28"/>
        </w:rPr>
        <w:t>（三）规则引擎创新之二：风控处置的三级分层</w:t>
      </w:r>
    </w:p>
    <w:p>
      <w:pPr>
        <w:spacing w:before="0" w:after="0"/>
        <w:ind w:firstLine="480"/>
      </w:pPr>
      <w:r>
        <w:rPr>
          <w:rFonts w:ascii="宋体" w:hAnsi="宋体" w:eastAsia="宋体"/>
          <w:b w:val="0"/>
          <w:sz w:val="24"/>
        </w:rPr>
        <w:t>常规风控是“命中即拦”或“提示即放行”的二选一。作品建立了三级分层，核心是把“政策红线”与“商业风险提示”在协议层面彻底分开：</w:t>
      </w:r>
    </w:p>
    <w:tbl>
      <w:tblPr>
        <w:tblStyle w:val="TableGrid"/>
        <w:tblW w:type="dxa" w:w="8730"/>
        <w:jc w:val="center"/>
        <w:tblLayout w:type="fixed"/>
        <w:tblLook w:firstColumn="1" w:firstRow="1" w:lastColumn="0" w:lastRow="0" w:noHBand="0" w:noVBand="1" w:val="04A0"/>
      </w:tblPr>
      <w:tblGrid>
        <w:gridCol w:w="1587"/>
        <w:gridCol w:w="1020"/>
        <w:gridCol w:w="1361"/>
        <w:gridCol w:w="1701"/>
        <w:gridCol w:w="3061"/>
      </w:tblGrid>
      <w:tr>
        <w:tc>
          <w:tcPr>
            <w:tcW w:type="dxa" w:w="1587"/>
            <w:shd w:val="clear" w:color="auto" w:fill="F2F4F8"/>
          </w:tcPr>
          <w:p>
            <w:pPr>
              <w:spacing w:after="40" w:line="276" w:lineRule="auto"/>
              <w:jc w:val="center"/>
            </w:pPr>
            <w:r/>
            <w:r>
              <w:rPr>
                <w:rFonts w:ascii="黑体" w:hAnsi="黑体" w:eastAsia="黑体"/>
                <w:b/>
                <w:sz w:val="20"/>
              </w:rPr>
              <w:t>命中类型</w:t>
            </w:r>
          </w:p>
        </w:tc>
        <w:tc>
          <w:tcPr>
            <w:tcW w:type="dxa" w:w="1020"/>
            <w:shd w:val="clear" w:color="auto" w:fill="F2F4F8"/>
          </w:tcPr>
          <w:p>
            <w:pPr>
              <w:spacing w:after="40" w:line="276" w:lineRule="auto"/>
              <w:jc w:val="center"/>
            </w:pPr>
            <w:r/>
            <w:r>
              <w:rPr>
                <w:rFonts w:ascii="黑体" w:hAnsi="黑体" w:eastAsia="黑体"/>
                <w:b/>
                <w:sz w:val="20"/>
              </w:rPr>
              <w:t>返回码</w:t>
            </w:r>
          </w:p>
        </w:tc>
        <w:tc>
          <w:tcPr>
            <w:tcW w:type="dxa" w:w="1361"/>
            <w:shd w:val="clear" w:color="auto" w:fill="F2F4F8"/>
          </w:tcPr>
          <w:p>
            <w:pPr>
              <w:spacing w:after="40" w:line="276" w:lineRule="auto"/>
              <w:jc w:val="center"/>
            </w:pPr>
            <w:r/>
            <w:r>
              <w:rPr>
                <w:rFonts w:ascii="黑体" w:hAnsi="黑体" w:eastAsia="黑体"/>
                <w:b/>
                <w:sz w:val="20"/>
              </w:rPr>
              <w:t>是否写库</w:t>
            </w:r>
          </w:p>
        </w:tc>
        <w:tc>
          <w:tcPr>
            <w:tcW w:type="dxa" w:w="1701"/>
            <w:shd w:val="clear" w:color="auto" w:fill="F2F4F8"/>
          </w:tcPr>
          <w:p>
            <w:pPr>
              <w:spacing w:after="40" w:line="276" w:lineRule="auto"/>
              <w:jc w:val="center"/>
            </w:pPr>
            <w:r/>
            <w:r>
              <w:rPr>
                <w:rFonts w:ascii="黑体" w:hAnsi="黑体" w:eastAsia="黑体"/>
                <w:b/>
                <w:sz w:val="20"/>
              </w:rPr>
              <w:t>用户可否放行</w:t>
            </w:r>
          </w:p>
        </w:tc>
        <w:tc>
          <w:tcPr>
            <w:tcW w:type="dxa" w:w="3061"/>
            <w:shd w:val="clear" w:color="auto" w:fill="F2F4F8"/>
          </w:tcPr>
          <w:p>
            <w:pPr>
              <w:spacing w:after="40" w:line="276" w:lineRule="auto"/>
              <w:jc w:val="center"/>
            </w:pPr>
            <w:r/>
            <w:r>
              <w:rPr>
                <w:rFonts w:ascii="黑体" w:hAnsi="黑体" w:eastAsia="黑体"/>
                <w:b/>
                <w:sz w:val="20"/>
              </w:rPr>
              <w:t>设计意图</w:t>
            </w:r>
          </w:p>
        </w:tc>
      </w:tr>
      <w:tr>
        <w:tc>
          <w:tcPr>
            <w:tcW w:type="dxa" w:w="1587"/>
          </w:tcPr>
          <w:p>
            <w:pPr>
              <w:spacing w:after="40" w:line="276" w:lineRule="auto"/>
              <w:jc w:val="center"/>
            </w:pPr>
            <w:r/>
            <w:r>
              <w:rPr>
                <w:rFonts w:ascii="宋体" w:hAnsi="宋体" w:eastAsia="宋体"/>
                <w:sz w:val="20"/>
              </w:rPr>
              <w:t>双减政策红线</w:t>
            </w:r>
          </w:p>
        </w:tc>
        <w:tc>
          <w:tcPr>
            <w:tcW w:type="dxa" w:w="1020"/>
          </w:tcPr>
          <w:p>
            <w:pPr>
              <w:spacing w:after="40" w:line="276" w:lineRule="auto"/>
            </w:pPr>
            <w:r/>
            <w:r>
              <w:rPr>
                <w:rFonts w:ascii="宋体" w:hAnsi="宋体" w:eastAsia="宋体"/>
                <w:sz w:val="20"/>
              </w:rPr>
              <w:t>code 3</w:t>
            </w:r>
          </w:p>
        </w:tc>
        <w:tc>
          <w:tcPr>
            <w:tcW w:type="dxa" w:w="1361"/>
          </w:tcPr>
          <w:p>
            <w:pPr>
              <w:spacing w:after="40" w:line="276" w:lineRule="auto"/>
            </w:pPr>
            <w:r/>
            <w:r>
              <w:rPr>
                <w:rFonts w:ascii="宋体" w:hAnsi="宋体" w:eastAsia="宋体"/>
                <w:sz w:val="20"/>
              </w:rPr>
              <w:t>否</w:t>
            </w:r>
          </w:p>
        </w:tc>
        <w:tc>
          <w:tcPr>
            <w:tcW w:type="dxa" w:w="1701"/>
          </w:tcPr>
          <w:p>
            <w:pPr>
              <w:spacing w:after="40" w:line="276" w:lineRule="auto"/>
            </w:pPr>
            <w:r/>
            <w:r>
              <w:rPr>
                <w:rFonts w:ascii="宋体" w:hAnsi="宋体" w:eastAsia="宋体"/>
                <w:sz w:val="20"/>
              </w:rPr>
              <w:t>不可</w:t>
            </w:r>
          </w:p>
        </w:tc>
        <w:tc>
          <w:tcPr>
            <w:tcW w:type="dxa" w:w="3061"/>
          </w:tcPr>
          <w:p>
            <w:pPr>
              <w:spacing w:after="40" w:line="276" w:lineRule="auto"/>
            </w:pPr>
            <w:r/>
            <w:r>
              <w:rPr>
                <w:rFonts w:ascii="宋体" w:hAnsi="宋体" w:eastAsia="宋体"/>
                <w:sz w:val="20"/>
              </w:rPr>
              <w:t>硬拦截分支不读取“我已知晓”参数，前端弹窗不提供“继续”按钮</w:t>
            </w:r>
          </w:p>
        </w:tc>
      </w:tr>
      <w:tr>
        <w:tc>
          <w:tcPr>
            <w:tcW w:type="dxa" w:w="1587"/>
          </w:tcPr>
          <w:p>
            <w:pPr>
              <w:spacing w:after="40" w:line="276" w:lineRule="auto"/>
              <w:jc w:val="center"/>
            </w:pPr>
            <w:r/>
            <w:r>
              <w:rPr>
                <w:rFonts w:ascii="宋体" w:hAnsi="宋体" w:eastAsia="宋体"/>
                <w:sz w:val="20"/>
              </w:rPr>
              <w:t>风险词（高危）</w:t>
            </w:r>
          </w:p>
        </w:tc>
        <w:tc>
          <w:tcPr>
            <w:tcW w:type="dxa" w:w="1020"/>
          </w:tcPr>
          <w:p>
            <w:pPr>
              <w:spacing w:after="40" w:line="276" w:lineRule="auto"/>
            </w:pPr>
            <w:r/>
            <w:r>
              <w:rPr>
                <w:rFonts w:ascii="宋体" w:hAnsi="宋体" w:eastAsia="宋体"/>
                <w:sz w:val="20"/>
              </w:rPr>
              <w:t>code 2</w:t>
            </w:r>
          </w:p>
        </w:tc>
        <w:tc>
          <w:tcPr>
            <w:tcW w:type="dxa" w:w="1361"/>
          </w:tcPr>
          <w:p>
            <w:pPr>
              <w:spacing w:after="40" w:line="276" w:lineRule="auto"/>
            </w:pPr>
            <w:r/>
            <w:r>
              <w:rPr>
                <w:rFonts w:ascii="宋体" w:hAnsi="宋体" w:eastAsia="宋体"/>
                <w:sz w:val="20"/>
              </w:rPr>
              <w:t>未确认时不写</w:t>
            </w:r>
          </w:p>
        </w:tc>
        <w:tc>
          <w:tcPr>
            <w:tcW w:type="dxa" w:w="1701"/>
          </w:tcPr>
          <w:p>
            <w:pPr>
              <w:spacing w:after="40" w:line="276" w:lineRule="auto"/>
            </w:pPr>
            <w:r/>
            <w:r>
              <w:rPr>
                <w:rFonts w:ascii="宋体" w:hAnsi="宋体" w:eastAsia="宋体"/>
                <w:sz w:val="20"/>
              </w:rPr>
              <w:t>可，需显式二次确认</w:t>
            </w:r>
          </w:p>
        </w:tc>
        <w:tc>
          <w:tcPr>
            <w:tcW w:type="dxa" w:w="3061"/>
          </w:tcPr>
          <w:p>
            <w:pPr>
              <w:spacing w:after="40" w:line="276" w:lineRule="auto"/>
            </w:pPr>
            <w:r/>
            <w:r>
              <w:rPr>
                <w:rFonts w:ascii="宋体" w:hAnsi="宋体" w:eastAsia="宋体"/>
                <w:sz w:val="20"/>
              </w:rPr>
              <w:t>知情后可继续，提示保留在详情与报告中</w:t>
            </w:r>
          </w:p>
        </w:tc>
      </w:tr>
      <w:tr>
        <w:tc>
          <w:tcPr>
            <w:tcW w:type="dxa" w:w="1587"/>
          </w:tcPr>
          <w:p>
            <w:pPr>
              <w:spacing w:after="40" w:line="276" w:lineRule="auto"/>
              <w:jc w:val="center"/>
            </w:pPr>
            <w:r/>
            <w:r>
              <w:rPr>
                <w:rFonts w:ascii="宋体" w:hAnsi="宋体" w:eastAsia="宋体"/>
                <w:sz w:val="20"/>
              </w:rPr>
              <w:t>风险词（中危）</w:t>
            </w:r>
          </w:p>
        </w:tc>
        <w:tc>
          <w:tcPr>
            <w:tcW w:type="dxa" w:w="1020"/>
          </w:tcPr>
          <w:p>
            <w:pPr>
              <w:spacing w:after="40" w:line="276" w:lineRule="auto"/>
            </w:pPr>
            <w:r/>
            <w:r>
              <w:rPr>
                <w:rFonts w:ascii="宋体" w:hAnsi="宋体" w:eastAsia="宋体"/>
                <w:sz w:val="20"/>
              </w:rPr>
              <w:t>code 0</w:t>
            </w:r>
          </w:p>
        </w:tc>
        <w:tc>
          <w:tcPr>
            <w:tcW w:type="dxa" w:w="1361"/>
          </w:tcPr>
          <w:p>
            <w:pPr>
              <w:spacing w:after="40" w:line="276" w:lineRule="auto"/>
            </w:pPr>
            <w:r/>
            <w:r>
              <w:rPr>
                <w:rFonts w:ascii="宋体" w:hAnsi="宋体" w:eastAsia="宋体"/>
                <w:sz w:val="20"/>
              </w:rPr>
              <w:t>是</w:t>
            </w:r>
          </w:p>
        </w:tc>
        <w:tc>
          <w:tcPr>
            <w:tcW w:type="dxa" w:w="1701"/>
          </w:tcPr>
          <w:p>
            <w:pPr>
              <w:spacing w:after="40" w:line="276" w:lineRule="auto"/>
            </w:pPr>
            <w:r/>
            <w:r>
              <w:rPr>
                <w:rFonts w:ascii="宋体" w:hAnsi="宋体" w:eastAsia="宋体"/>
                <w:sz w:val="20"/>
              </w:rPr>
              <w:t>无需确认，仅提示</w:t>
            </w:r>
          </w:p>
        </w:tc>
        <w:tc>
          <w:tcPr>
            <w:tcW w:type="dxa" w:w="3061"/>
          </w:tcPr>
          <w:p>
            <w:pPr>
              <w:spacing w:after="40" w:line="276" w:lineRule="auto"/>
            </w:pPr>
            <w:r/>
            <w:r>
              <w:rPr>
                <w:rFonts w:ascii="宋体" w:hAnsi="宋体" w:eastAsia="宋体"/>
                <w:sz w:val="20"/>
              </w:rPr>
              <w:t>避免过度打扰，保留信息透明</w:t>
            </w:r>
          </w:p>
        </w:tc>
      </w:tr>
    </w:tbl>
    <w:p>
      <w:pPr>
        <w:spacing w:before="80" w:after="160"/>
        <w:jc w:val="center"/>
      </w:pPr>
      <w:r>
        <w:rPr>
          <w:rFonts w:ascii="黑体" w:hAnsi="黑体" w:eastAsia="黑体"/>
          <w:b/>
          <w:sz w:val="21"/>
        </w:rPr>
        <w:t>表 2  风险处置的三级分层</w:t>
      </w:r>
    </w:p>
    <w:p>
      <w:pPr>
        <w:spacing w:before="0" w:after="0"/>
        <w:ind w:firstLine="480"/>
      </w:pPr>
      <w:r>
        <w:rPr>
          <w:rFonts w:ascii="宋体" w:hAnsi="宋体" w:eastAsia="宋体"/>
          <w:b w:val="0"/>
          <w:sz w:val="24"/>
        </w:rPr>
        <w:t>这一分层的关键在于：政策红线在协议层就不接受用户确认，服务端在该分支根本不读取“已确认风险”字段，因此前端无论怎样传参都无法放行；而商业风险允许用户在知情后继续，体现“提示而不代替决策”的原则。</w:t>
      </w:r>
    </w:p>
    <w:p>
      <w:pPr>
        <w:keepNext/>
        <w:spacing w:before="240" w:after="120" w:line="360" w:lineRule="auto"/>
        <w:jc w:val="left"/>
      </w:pPr>
      <w:r>
        <w:rPr>
          <w:rFonts w:ascii="黑体" w:hAnsi="黑体" w:eastAsia="黑体"/>
          <w:b/>
          <w:sz w:val="28"/>
        </w:rPr>
        <w:t>（四）工程治理创新之一：状态一致性的单一事实源</w:t>
      </w:r>
    </w:p>
    <w:p>
      <w:pPr>
        <w:spacing w:before="0" w:after="0"/>
        <w:ind w:firstLine="480"/>
      </w:pPr>
      <w:r>
        <w:rPr>
          <w:rFonts w:ascii="宋体" w:hAnsi="宋体" w:eastAsia="宋体"/>
          <w:b w:val="0"/>
          <w:sz w:val="24"/>
        </w:rPr>
        <w:t>小程序开发中一类高发缺陷是“同一份状态在多处各自计算”。作品在三处做了收敛，每一处都对应一个真实修复过的缺陷：</w:t>
      </w:r>
    </w:p>
    <w:p>
      <w:pPr>
        <w:spacing w:after="40"/>
        <w:ind w:left="480" w:hanging="240"/>
      </w:pPr>
      <w:r>
        <w:rPr>
          <w:rFonts w:ascii="宋体" w:hAnsi="宋体" w:eastAsia="宋体"/>
          <w:sz w:val="24"/>
        </w:rPr>
        <w:t>· 角色状态的收敛：以全局唯一字段作为角色事实源，所有角色变更必须经过唯一入口（同时更新内存、写缓存、同步用户信息、通知订阅者），越权访问由统一守卫函数拦截。对应修复的缺陷是“首页已切换为家长、但接单池仍按学生身份渲染”。</w:t>
      </w:r>
    </w:p>
    <w:p>
      <w:pPr>
        <w:spacing w:after="40"/>
        <w:ind w:left="480" w:hanging="240"/>
      </w:pPr>
      <w:r>
        <w:rPr>
          <w:rFonts w:ascii="宋体" w:hAnsi="宋体" w:eastAsia="宋体"/>
          <w:sz w:val="24"/>
        </w:rPr>
        <w:t>· 跨页报名状态的收敛：把“我是否已报名”从各页重算改为全局唯一缓存，写操作全部幂等，并提供以服务端为准的校正函数。对应修复的缺陷是“列表页已报名、详情页仍显示长按报名”。</w:t>
      </w:r>
    </w:p>
    <w:p>
      <w:pPr>
        <w:spacing w:after="40"/>
        <w:ind w:left="480" w:hanging="240"/>
      </w:pPr>
      <w:r>
        <w:rPr>
          <w:rFonts w:ascii="宋体" w:hAnsi="宋体" w:eastAsia="宋体"/>
          <w:sz w:val="24"/>
        </w:rPr>
        <w:t>· 数据访问的收敛：全部页面只能经由统一服务网关访问数据，由工程校验脚本强制执行。</w:t>
      </w:r>
    </w:p>
    <w:p>
      <w:pPr>
        <w:spacing w:before="0" w:after="0"/>
        <w:ind w:firstLine="480"/>
      </w:pPr>
      <w:r>
        <w:rPr>
          <w:rFonts w:ascii="宋体" w:hAnsi="宋体" w:eastAsia="宋体"/>
          <w:b w:val="0"/>
          <w:sz w:val="24"/>
        </w:rPr>
        <w:t>三处收敛共同构成“状态不分裂”的系统性保障。作品认为，对中小规模应用而言，约定式架构配合自动化校验，其投入产出比优于引入重量级状态管理框架。</w:t>
      </w:r>
    </w:p>
    <w:p>
      <w:pPr>
        <w:keepNext/>
        <w:spacing w:before="240" w:after="120" w:line="360" w:lineRule="auto"/>
        <w:jc w:val="left"/>
      </w:pPr>
      <w:r>
        <w:rPr>
          <w:rFonts w:ascii="黑体" w:hAnsi="黑体" w:eastAsia="黑体"/>
          <w:b/>
          <w:sz w:val="28"/>
        </w:rPr>
        <w:t>（五）工程治理创新之二：词库治理的工程化链路</w:t>
      </w:r>
    </w:p>
    <w:p>
      <w:pPr>
        <w:spacing w:before="0" w:after="0"/>
        <w:ind w:firstLine="480"/>
      </w:pPr>
      <w:r>
        <w:rPr>
          <w:rFonts w:ascii="宋体" w:hAnsi="宋体" w:eastAsia="宋体"/>
          <w:b w:val="0"/>
          <w:sz w:val="24"/>
        </w:rPr>
        <w:t>风控词库在工程中天然存在多份副本（前端即时提示用、服务端裁决用、数据库管理用）。副本不同步是这类系统的典型隐患。作品为词库建立了一条完整的工程管线：一个权威源，两份差异可验证的副本，一套跨端一致性自动回归（三份服务端词库副本 × 8 组双减用例逐一比对，差异必须为 0），一个三方比对脚本（输出前端/服务端/数据库三份词库的差集），以及一份由脚本自动生成的词库说明文档。由此，风控词库不是一张静态的表，而是一条有版本、有校验、有文档产出的工程链路。</w:t>
      </w:r>
    </w:p>
    <w:p>
      <w:pPr>
        <w:keepNext/>
        <w:spacing w:before="240" w:after="120" w:line="360" w:lineRule="auto"/>
        <w:jc w:val="left"/>
      </w:pPr>
      <w:r>
        <w:rPr>
          <w:rFonts w:ascii="黑体" w:hAnsi="黑体" w:eastAsia="黑体"/>
          <w:b/>
          <w:sz w:val="28"/>
        </w:rPr>
        <w:t>（六）交互创新：自研长按环形确认</w:t>
      </w:r>
    </w:p>
    <w:p>
      <w:pPr>
        <w:spacing w:before="0" w:after="0"/>
        <w:ind w:firstLine="480"/>
      </w:pPr>
      <w:r>
        <w:rPr>
          <w:rFonts w:ascii="宋体" w:hAnsi="宋体" w:eastAsia="宋体"/>
          <w:b w:val="0"/>
          <w:sz w:val="24"/>
        </w:rPr>
        <w:t>在撮合场景中，“报名”是一个应当郑重对待的动作。作品要求用户按住若干秒才能完成报名，但微信原生 longpress 事件的触发阈值固定约 350 毫秒，且没有参数可以配置为 2 秒。为此作品自研了长按确认组件：以触摸事件自行计时，用锥形渐变绘制环形进度，进度更新节流至 40 毫秒，手指移动超过 10 像素即判定取消（避免用户想滚动列表时误报名），并以一次轻微振动作为触感反馈。</w:t>
      </w:r>
    </w:p>
    <w:p>
      <w:pPr>
        <w:spacing w:before="0" w:after="0"/>
        <w:ind w:firstLine="480"/>
      </w:pPr>
      <w:r>
        <w:rPr>
          <w:rFonts w:ascii="宋体" w:hAnsi="宋体" w:eastAsia="宋体"/>
          <w:b w:val="0"/>
          <w:sz w:val="24"/>
        </w:rPr>
        <w:t>该组件在实现过程中沉淀了四条可复用的工程经验，并写入了代码注释：按钮宽度必须固定（否则文案切换会撑动整行）；不做缩放变换（哪怕 0.985，配合列表重绘也会被感知为“抖”）；环形进度不能加过渡动画（锥形渐变不可插值，过渡会让环每帧闪烁）；进度更新必须节流。这四条经验对同类小程序交互开发具有参考价值。</w:t>
      </w:r>
    </w:p>
    <w:p>
      <w:pPr>
        <w:keepNext/>
        <w:spacing w:before="240" w:after="200" w:line="360" w:lineRule="auto"/>
        <w:jc w:val="center"/>
      </w:pPr>
      <w:r>
        <w:rPr>
          <w:rFonts w:ascii="黑体" w:hAnsi="黑体" w:eastAsia="黑体"/>
          <w:b/>
          <w:sz w:val="32"/>
        </w:rPr>
        <w:t>四、应用前景</w:t>
      </w:r>
    </w:p>
    <w:p>
      <w:pPr>
        <w:keepNext/>
        <w:spacing w:before="240" w:after="120" w:line="360" w:lineRule="auto"/>
        <w:jc w:val="left"/>
      </w:pPr>
      <w:r>
        <w:rPr>
          <w:rFonts w:ascii="黑体" w:hAnsi="黑体" w:eastAsia="黑体"/>
          <w:b/>
          <w:sz w:val="28"/>
        </w:rPr>
        <w:t>（一）可直接复用的应用场景</w:t>
      </w:r>
    </w:p>
    <w:p>
      <w:pPr>
        <w:spacing w:before="0" w:after="0"/>
        <w:ind w:firstLine="480"/>
      </w:pPr>
      <w:r>
        <w:rPr>
          <w:rFonts w:ascii="宋体" w:hAnsi="宋体" w:eastAsia="宋体"/>
          <w:b w:val="0"/>
          <w:sz w:val="24"/>
        </w:rPr>
        <w:t>作品的核心不是“家教”这一具体品类，而是“互不认识的双方如何在缺乏信任基础的前提下完成一次有约束的撮合”。这一命题广泛存在于校园与社区服务中，作品的四项核心机制具有明确的迁移价值：</w:t>
      </w:r>
    </w:p>
    <w:tbl>
      <w:tblPr>
        <w:tblStyle w:val="TableGrid"/>
        <w:tblW w:type="dxa" w:w="8617"/>
        <w:jc w:val="center"/>
        <w:tblLayout w:type="fixed"/>
        <w:tblLook w:firstColumn="1" w:firstRow="1" w:lastColumn="0" w:lastRow="0" w:noHBand="0" w:noVBand="1" w:val="04A0"/>
      </w:tblPr>
      <w:tblGrid>
        <w:gridCol w:w="2494"/>
        <w:gridCol w:w="3402"/>
        <w:gridCol w:w="2721"/>
      </w:tblGrid>
      <w:tr>
        <w:tc>
          <w:tcPr>
            <w:tcW w:type="dxa" w:w="2494"/>
            <w:shd w:val="clear" w:color="auto" w:fill="F2F4F8"/>
          </w:tcPr>
          <w:p>
            <w:pPr>
              <w:spacing w:after="40" w:line="276" w:lineRule="auto"/>
              <w:jc w:val="center"/>
            </w:pPr>
            <w:r/>
            <w:r>
              <w:rPr>
                <w:rFonts w:ascii="黑体" w:hAnsi="黑体" w:eastAsia="黑体"/>
                <w:b/>
                <w:sz w:val="20"/>
              </w:rPr>
              <w:t>可复用机制</w:t>
            </w:r>
          </w:p>
        </w:tc>
        <w:tc>
          <w:tcPr>
            <w:tcW w:type="dxa" w:w="3402"/>
            <w:shd w:val="clear" w:color="auto" w:fill="F2F4F8"/>
          </w:tcPr>
          <w:p>
            <w:pPr>
              <w:spacing w:after="40" w:line="276" w:lineRule="auto"/>
              <w:jc w:val="center"/>
            </w:pPr>
            <w:r/>
            <w:r>
              <w:rPr>
                <w:rFonts w:ascii="黑体" w:hAnsi="黑体" w:eastAsia="黑体"/>
                <w:b/>
                <w:sz w:val="20"/>
              </w:rPr>
              <w:t>迁移场景举例</w:t>
            </w:r>
          </w:p>
        </w:tc>
        <w:tc>
          <w:tcPr>
            <w:tcW w:type="dxa" w:w="2721"/>
            <w:shd w:val="clear" w:color="auto" w:fill="F2F4F8"/>
          </w:tcPr>
          <w:p>
            <w:pPr>
              <w:spacing w:after="40" w:line="276" w:lineRule="auto"/>
              <w:jc w:val="center"/>
            </w:pPr>
            <w:r/>
            <w:r>
              <w:rPr>
                <w:rFonts w:ascii="黑体" w:hAnsi="黑体" w:eastAsia="黑体"/>
                <w:b/>
                <w:sz w:val="20"/>
              </w:rPr>
              <w:t>迁移所需改动</w:t>
            </w:r>
          </w:p>
        </w:tc>
      </w:tr>
      <w:tr>
        <w:tc>
          <w:tcPr>
            <w:tcW w:type="dxa" w:w="2494"/>
          </w:tcPr>
          <w:p>
            <w:pPr>
              <w:spacing w:after="40" w:line="276" w:lineRule="auto"/>
              <w:jc w:val="center"/>
            </w:pPr>
            <w:r/>
            <w:r>
              <w:rPr>
                <w:rFonts w:ascii="宋体" w:hAnsi="宋体" w:eastAsia="宋体"/>
                <w:sz w:val="20"/>
              </w:rPr>
              <w:t>三重认证与认证编号可核验</w:t>
            </w:r>
          </w:p>
        </w:tc>
        <w:tc>
          <w:tcPr>
            <w:tcW w:type="dxa" w:w="3402"/>
          </w:tcPr>
          <w:p>
            <w:pPr>
              <w:spacing w:after="40" w:line="276" w:lineRule="auto"/>
            </w:pPr>
            <w:r/>
            <w:r>
              <w:rPr>
                <w:rFonts w:ascii="宋体" w:hAnsi="宋体" w:eastAsia="宋体"/>
                <w:sz w:val="20"/>
              </w:rPr>
              <w:t>校园跑腿、实验室助研、社区志愿服务</w:t>
            </w:r>
          </w:p>
        </w:tc>
        <w:tc>
          <w:tcPr>
            <w:tcW w:type="dxa" w:w="2721"/>
          </w:tcPr>
          <w:p>
            <w:pPr>
              <w:spacing w:after="40" w:line="276" w:lineRule="auto"/>
            </w:pPr>
            <w:r/>
            <w:r>
              <w:rPr>
                <w:rFonts w:ascii="宋体" w:hAnsi="宋体" w:eastAsia="宋体"/>
                <w:sz w:val="20"/>
              </w:rPr>
              <w:t>替换认证类型与核验渠道</w:t>
            </w:r>
          </w:p>
        </w:tc>
      </w:tr>
      <w:tr>
        <w:tc>
          <w:tcPr>
            <w:tcW w:type="dxa" w:w="2494"/>
          </w:tcPr>
          <w:p>
            <w:pPr>
              <w:spacing w:after="40" w:line="276" w:lineRule="auto"/>
              <w:jc w:val="center"/>
            </w:pPr>
            <w:r/>
            <w:r>
              <w:rPr>
                <w:rFonts w:ascii="宋体" w:hAnsi="宋体" w:eastAsia="宋体"/>
                <w:sz w:val="20"/>
              </w:rPr>
              <w:t>双减结构化规则引擎</w:t>
            </w:r>
          </w:p>
        </w:tc>
        <w:tc>
          <w:tcPr>
            <w:tcW w:type="dxa" w:w="3402"/>
          </w:tcPr>
          <w:p>
            <w:pPr>
              <w:spacing w:after="40" w:line="276" w:lineRule="auto"/>
            </w:pPr>
            <w:r/>
            <w:r>
              <w:rPr>
                <w:rFonts w:ascii="宋体" w:hAnsi="宋体" w:eastAsia="宋体"/>
                <w:sz w:val="20"/>
              </w:rPr>
              <w:t>其他受政策约束的服务撮合（如校外托管、研学）</w:t>
            </w:r>
          </w:p>
        </w:tc>
        <w:tc>
          <w:tcPr>
            <w:tcW w:type="dxa" w:w="2721"/>
          </w:tcPr>
          <w:p>
            <w:pPr>
              <w:spacing w:after="40" w:line="276" w:lineRule="auto"/>
            </w:pPr>
            <w:r/>
            <w:r>
              <w:rPr>
                <w:rFonts w:ascii="宋体" w:hAnsi="宋体" w:eastAsia="宋体"/>
                <w:sz w:val="20"/>
              </w:rPr>
              <w:t>替换规则维度与值域</w:t>
            </w:r>
          </w:p>
        </w:tc>
      </w:tr>
      <w:tr>
        <w:tc>
          <w:tcPr>
            <w:tcW w:type="dxa" w:w="2494"/>
          </w:tcPr>
          <w:p>
            <w:pPr>
              <w:spacing w:after="40" w:line="276" w:lineRule="auto"/>
              <w:jc w:val="center"/>
            </w:pPr>
            <w:r/>
            <w:r>
              <w:rPr>
                <w:rFonts w:ascii="宋体" w:hAnsi="宋体" w:eastAsia="宋体"/>
                <w:sz w:val="20"/>
              </w:rPr>
              <w:t>双向确认撮合状态机</w:t>
            </w:r>
          </w:p>
        </w:tc>
        <w:tc>
          <w:tcPr>
            <w:tcW w:type="dxa" w:w="3402"/>
          </w:tcPr>
          <w:p>
            <w:pPr>
              <w:spacing w:after="40" w:line="276" w:lineRule="auto"/>
            </w:pPr>
            <w:r/>
            <w:r>
              <w:rPr>
                <w:rFonts w:ascii="宋体" w:hAnsi="宋体" w:eastAsia="宋体"/>
                <w:sz w:val="20"/>
              </w:rPr>
              <w:t>二手交易、技能交换、校内组队</w:t>
            </w:r>
          </w:p>
        </w:tc>
        <w:tc>
          <w:tcPr>
            <w:tcW w:type="dxa" w:w="2721"/>
          </w:tcPr>
          <w:p>
            <w:pPr>
              <w:spacing w:after="40" w:line="276" w:lineRule="auto"/>
            </w:pPr>
            <w:r/>
            <w:r>
              <w:rPr>
                <w:rFonts w:ascii="宋体" w:hAnsi="宋体" w:eastAsia="宋体"/>
                <w:sz w:val="20"/>
              </w:rPr>
              <w:t>替换确认主体与状态名</w:t>
            </w:r>
          </w:p>
        </w:tc>
      </w:tr>
      <w:tr>
        <w:tc>
          <w:tcPr>
            <w:tcW w:type="dxa" w:w="2494"/>
          </w:tcPr>
          <w:p>
            <w:pPr>
              <w:spacing w:after="40" w:line="276" w:lineRule="auto"/>
              <w:jc w:val="center"/>
            </w:pPr>
            <w:r/>
            <w:r>
              <w:rPr>
                <w:rFonts w:ascii="宋体" w:hAnsi="宋体" w:eastAsia="宋体"/>
                <w:sz w:val="20"/>
              </w:rPr>
              <w:t>双向盲评与双向信用分</w:t>
            </w:r>
          </w:p>
        </w:tc>
        <w:tc>
          <w:tcPr>
            <w:tcW w:type="dxa" w:w="3402"/>
          </w:tcPr>
          <w:p>
            <w:pPr>
              <w:spacing w:after="40" w:line="276" w:lineRule="auto"/>
            </w:pPr>
            <w:r/>
            <w:r>
              <w:rPr>
                <w:rFonts w:ascii="宋体" w:hAnsi="宋体" w:eastAsia="宋体"/>
                <w:sz w:val="20"/>
              </w:rPr>
              <w:t>任何需要“双方互评”的平台</w:t>
            </w:r>
          </w:p>
        </w:tc>
        <w:tc>
          <w:tcPr>
            <w:tcW w:type="dxa" w:w="2721"/>
          </w:tcPr>
          <w:p>
            <w:pPr>
              <w:spacing w:after="40" w:line="276" w:lineRule="auto"/>
            </w:pPr>
            <w:r/>
            <w:r>
              <w:rPr>
                <w:rFonts w:ascii="宋体" w:hAnsi="宋体" w:eastAsia="宋体"/>
                <w:sz w:val="20"/>
              </w:rPr>
              <w:t>替换评价标签体系</w:t>
            </w:r>
          </w:p>
        </w:tc>
      </w:tr>
    </w:tbl>
    <w:p>
      <w:pPr>
        <w:spacing w:before="80" w:after="160"/>
        <w:jc w:val="center"/>
      </w:pPr>
      <w:r>
        <w:rPr>
          <w:rFonts w:ascii="黑体" w:hAnsi="黑体" w:eastAsia="黑体"/>
          <w:b/>
          <w:sz w:val="21"/>
        </w:rPr>
        <w:t>表 3  核心机制的可迁移性</w:t>
      </w:r>
    </w:p>
    <w:p>
      <w:pPr>
        <w:keepNext/>
        <w:spacing w:before="240" w:after="120" w:line="360" w:lineRule="auto"/>
        <w:jc w:val="left"/>
      </w:pPr>
      <w:r>
        <w:rPr>
          <w:rFonts w:ascii="黑体" w:hAnsi="黑体" w:eastAsia="黑体"/>
          <w:b/>
          <w:sz w:val="28"/>
        </w:rPr>
        <w:t>（二）推广路径设想</w:t>
      </w:r>
    </w:p>
    <w:p>
      <w:pPr>
        <w:spacing w:before="0" w:after="0"/>
        <w:ind w:firstLine="480"/>
      </w:pPr>
      <w:r>
        <w:rPr>
          <w:rFonts w:ascii="宋体" w:hAnsi="宋体" w:eastAsia="宋体"/>
          <w:b w:val="0"/>
          <w:sz w:val="24"/>
        </w:rPr>
        <w:t>从落地角度看，作品具备三点有利条件。其一，载体是微信小程序，用户无需安装、传播成本低，适合在高校与社区内快速铺开。其二，作品不涉及资金流转、不提供办学场所、不组织培训，其“个人零星撮合”的定位与现行监管要求相容，推广时的合规解释成本较低。其三，全部技术为自研、零第三方组件库依赖，代码体积与维护成本可控，便于由学生团队长期迭代。</w:t>
      </w:r>
    </w:p>
    <w:p>
      <w:pPr>
        <w:spacing w:before="0" w:after="0"/>
        <w:ind w:firstLine="480"/>
      </w:pPr>
      <w:r>
        <w:rPr>
          <w:rFonts w:ascii="宋体" w:hAnsi="宋体" w:eastAsia="宋体"/>
          <w:b w:val="0"/>
          <w:sz w:val="24"/>
        </w:rPr>
        <w:t>据此，作品设想“三步走”的推广路径：第一步以单所高校为试点，验证认证核验流程与双向确认撮合的可用性；第二步在同城高校间复制，重点验证多校区、跨区通勤场景下的匹配权重是否需要调整；第三步向社区与家长侧延伸，探索与中小学家委会、社区服务中心的合作形态。</w:t>
      </w:r>
    </w:p>
    <w:p>
      <w:pPr>
        <w:keepNext/>
        <w:spacing w:before="240" w:after="120" w:line="360" w:lineRule="auto"/>
        <w:jc w:val="left"/>
      </w:pPr>
      <w:r>
        <w:rPr>
          <w:rFonts w:ascii="黑体" w:hAnsi="黑体" w:eastAsia="黑体"/>
          <w:b/>
          <w:sz w:val="28"/>
        </w:rPr>
        <w:t>（三）社会价值</w:t>
      </w:r>
    </w:p>
    <w:p>
      <w:pPr>
        <w:spacing w:before="0" w:after="0"/>
        <w:ind w:firstLine="480"/>
      </w:pPr>
      <w:r>
        <w:rPr>
          <w:rFonts w:ascii="宋体" w:hAnsi="宋体" w:eastAsia="宋体"/>
          <w:b w:val="0"/>
          <w:sz w:val="24"/>
        </w:rPr>
        <w:t>作品的社会价值主要体现在三个方面。对学生而言，可信认证与收费陷阱拦截降低了兼职风险，响应了保障大学生勤工助学权益的现实关切。对家长而言，可核验的认证与可追溯的履约记录降低了选择成本。对行业而言，作品把“双减”政策约束前置到需求发布环节，以技术手段辅助政策落地，“宁严勿宽”的取值取向为同类平台提供了一种可参考的实现思路。</w:t>
      </w:r>
    </w:p>
    <w:p>
      <w:pPr>
        <w:keepNext/>
        <w:spacing w:before="240" w:after="120" w:line="360" w:lineRule="auto"/>
        <w:jc w:val="left"/>
      </w:pPr>
      <w:r>
        <w:rPr>
          <w:rFonts w:ascii="黑体" w:hAnsi="黑体" w:eastAsia="黑体"/>
          <w:b/>
          <w:sz w:val="28"/>
        </w:rPr>
        <w:t>（四）当前局限与后续计划</w:t>
      </w:r>
    </w:p>
    <w:p>
      <w:pPr>
        <w:spacing w:before="0" w:after="0"/>
        <w:ind w:firstLine="480"/>
      </w:pPr>
      <w:r>
        <w:rPr>
          <w:rFonts w:ascii="宋体" w:hAnsi="宋体" w:eastAsia="宋体"/>
          <w:b w:val="0"/>
          <w:sz w:val="24"/>
        </w:rPr>
        <w:t>本作品尚处原型阶段，项目组如实列出主要局限与对应计划，以保证申报材料的可信度：</w:t>
      </w:r>
    </w:p>
    <w:tbl>
      <w:tblPr>
        <w:tblStyle w:val="TableGrid"/>
        <w:tblW w:type="dxa" w:w="8617"/>
        <w:jc w:val="center"/>
        <w:tblLayout w:type="fixed"/>
        <w:tblLook w:firstColumn="1" w:firstRow="1" w:lastColumn="0" w:lastRow="0" w:noHBand="0" w:noVBand="1" w:val="04A0"/>
      </w:tblPr>
      <w:tblGrid>
        <w:gridCol w:w="2835"/>
        <w:gridCol w:w="3061"/>
        <w:gridCol w:w="2721"/>
      </w:tblGrid>
      <w:tr>
        <w:tc>
          <w:tcPr>
            <w:tcW w:type="dxa" w:w="2835"/>
            <w:shd w:val="clear" w:color="auto" w:fill="F2F4F8"/>
          </w:tcPr>
          <w:p>
            <w:pPr>
              <w:spacing w:after="40" w:line="276" w:lineRule="auto"/>
              <w:jc w:val="center"/>
            </w:pPr>
            <w:r/>
            <w:r>
              <w:rPr>
                <w:rFonts w:ascii="黑体" w:hAnsi="黑体" w:eastAsia="黑体"/>
                <w:b/>
                <w:sz w:val="20"/>
              </w:rPr>
              <w:t>当前局限</w:t>
            </w:r>
          </w:p>
        </w:tc>
        <w:tc>
          <w:tcPr>
            <w:tcW w:type="dxa" w:w="3061"/>
            <w:shd w:val="clear" w:color="auto" w:fill="F2F4F8"/>
          </w:tcPr>
          <w:p>
            <w:pPr>
              <w:spacing w:after="40" w:line="276" w:lineRule="auto"/>
              <w:jc w:val="center"/>
            </w:pPr>
            <w:r/>
            <w:r>
              <w:rPr>
                <w:rFonts w:ascii="黑体" w:hAnsi="黑体" w:eastAsia="黑体"/>
                <w:b/>
                <w:sz w:val="20"/>
              </w:rPr>
              <w:t>影响</w:t>
            </w:r>
          </w:p>
        </w:tc>
        <w:tc>
          <w:tcPr>
            <w:tcW w:type="dxa" w:w="2721"/>
            <w:shd w:val="clear" w:color="auto" w:fill="F2F4F8"/>
          </w:tcPr>
          <w:p>
            <w:pPr>
              <w:spacing w:after="40" w:line="276" w:lineRule="auto"/>
              <w:jc w:val="center"/>
            </w:pPr>
            <w:r/>
            <w:r>
              <w:rPr>
                <w:rFonts w:ascii="黑体" w:hAnsi="黑体" w:eastAsia="黑体"/>
                <w:b/>
                <w:sz w:val="20"/>
              </w:rPr>
              <w:t>后续计划</w:t>
            </w:r>
          </w:p>
        </w:tc>
      </w:tr>
      <w:tr>
        <w:tc>
          <w:tcPr>
            <w:tcW w:type="dxa" w:w="2835"/>
          </w:tcPr>
          <w:p>
            <w:pPr>
              <w:spacing w:after="40" w:line="276" w:lineRule="auto"/>
              <w:jc w:val="center"/>
            </w:pPr>
            <w:r/>
            <w:r>
              <w:rPr>
                <w:rFonts w:ascii="宋体" w:hAnsi="宋体" w:eastAsia="宋体"/>
                <w:sz w:val="20"/>
              </w:rPr>
              <w:t>匹配为子串级关键词匹配，非语义匹配</w:t>
            </w:r>
          </w:p>
        </w:tc>
        <w:tc>
          <w:tcPr>
            <w:tcW w:type="dxa" w:w="3061"/>
          </w:tcPr>
          <w:p>
            <w:pPr>
              <w:spacing w:after="40" w:line="276" w:lineRule="auto"/>
            </w:pPr>
            <w:r/>
            <w:r>
              <w:rPr>
                <w:rFonts w:ascii="宋体" w:hAnsi="宋体" w:eastAsia="宋体"/>
                <w:sz w:val="20"/>
              </w:rPr>
              <w:t>对“初中数学”与“初一数学”这类表述差异依赖同义词规则</w:t>
            </w:r>
          </w:p>
        </w:tc>
        <w:tc>
          <w:tcPr>
            <w:tcW w:type="dxa" w:w="2721"/>
          </w:tcPr>
          <w:p>
            <w:pPr>
              <w:spacing w:after="40" w:line="276" w:lineRule="auto"/>
            </w:pPr>
            <w:r/>
            <w:r>
              <w:rPr>
                <w:rFonts w:ascii="宋体" w:hAnsi="宋体" w:eastAsia="宋体"/>
                <w:sz w:val="20"/>
              </w:rPr>
              <w:t>引入语义向量召回作为规则打分的补充通道</w:t>
            </w:r>
          </w:p>
        </w:tc>
      </w:tr>
      <w:tr>
        <w:tc>
          <w:tcPr>
            <w:tcW w:type="dxa" w:w="2835"/>
          </w:tcPr>
          <w:p>
            <w:pPr>
              <w:spacing w:after="40" w:line="276" w:lineRule="auto"/>
              <w:jc w:val="center"/>
            </w:pPr>
            <w:r/>
            <w:r>
              <w:rPr>
                <w:rFonts w:ascii="宋体" w:hAnsi="宋体" w:eastAsia="宋体"/>
                <w:sz w:val="20"/>
              </w:rPr>
              <w:t>内容风控仅覆盖需求发布链路</w:t>
            </w:r>
          </w:p>
        </w:tc>
        <w:tc>
          <w:tcPr>
            <w:tcW w:type="dxa" w:w="3061"/>
          </w:tcPr>
          <w:p>
            <w:pPr>
              <w:spacing w:after="40" w:line="276" w:lineRule="auto"/>
            </w:pPr>
            <w:r/>
            <w:r>
              <w:rPr>
                <w:rFonts w:ascii="宋体" w:hAnsi="宋体" w:eastAsia="宋体"/>
                <w:sz w:val="20"/>
              </w:rPr>
              <w:t>评价、打卡小结、认证材料三条自由文本链路尚未接入</w:t>
            </w:r>
          </w:p>
        </w:tc>
        <w:tc>
          <w:tcPr>
            <w:tcW w:type="dxa" w:w="2721"/>
          </w:tcPr>
          <w:p>
            <w:pPr>
              <w:spacing w:after="40" w:line="276" w:lineRule="auto"/>
            </w:pPr>
            <w:r/>
            <w:r>
              <w:rPr>
                <w:rFonts w:ascii="宋体" w:hAnsi="宋体" w:eastAsia="宋体"/>
                <w:sz w:val="20"/>
              </w:rPr>
              <w:t>将双引擎风控抽为通用中间件，接入其余写入链路</w:t>
            </w:r>
          </w:p>
        </w:tc>
      </w:tr>
      <w:tr>
        <w:tc>
          <w:tcPr>
            <w:tcW w:type="dxa" w:w="2835"/>
          </w:tcPr>
          <w:p>
            <w:pPr>
              <w:spacing w:after="40" w:line="276" w:lineRule="auto"/>
              <w:jc w:val="center"/>
            </w:pPr>
            <w:r/>
            <w:r>
              <w:rPr>
                <w:rFonts w:ascii="宋体" w:hAnsi="宋体" w:eastAsia="宋体"/>
                <w:sz w:val="20"/>
              </w:rPr>
              <w:t>前后端匹配权重已发生维度漂移</w:t>
            </w:r>
          </w:p>
        </w:tc>
        <w:tc>
          <w:tcPr>
            <w:tcW w:type="dxa" w:w="3061"/>
          </w:tcPr>
          <w:p>
            <w:pPr>
              <w:spacing w:after="40" w:line="276" w:lineRule="auto"/>
            </w:pPr>
            <w:r/>
            <w:r>
              <w:rPr>
                <w:rFonts w:ascii="宋体" w:hAnsi="宋体" w:eastAsia="宋体"/>
                <w:sz w:val="20"/>
              </w:rPr>
              <w:t>云端仍为 6 维、前端已为 7 维（新增偏好与性格）</w:t>
            </w:r>
          </w:p>
        </w:tc>
        <w:tc>
          <w:tcPr>
            <w:tcW w:type="dxa" w:w="2721"/>
          </w:tcPr>
          <w:p>
            <w:pPr>
              <w:spacing w:after="40" w:line="276" w:lineRule="auto"/>
            </w:pPr>
            <w:r/>
            <w:r>
              <w:rPr>
                <w:rFonts w:ascii="宋体" w:hAnsi="宋体" w:eastAsia="宋体"/>
                <w:sz w:val="20"/>
              </w:rPr>
              <w:t>统一权重权威源，由云端下发权重供前端渲染</w:t>
            </w:r>
          </w:p>
        </w:tc>
      </w:tr>
      <w:tr>
        <w:tc>
          <w:tcPr>
            <w:tcW w:type="dxa" w:w="2835"/>
          </w:tcPr>
          <w:p>
            <w:pPr>
              <w:spacing w:after="40" w:line="276" w:lineRule="auto"/>
              <w:jc w:val="center"/>
            </w:pPr>
            <w:r/>
            <w:r>
              <w:rPr>
                <w:rFonts w:ascii="宋体" w:hAnsi="宋体" w:eastAsia="宋体"/>
                <w:sz w:val="20"/>
              </w:rPr>
              <w:t>认证审核为模拟实现</w:t>
            </w:r>
          </w:p>
        </w:tc>
        <w:tc>
          <w:tcPr>
            <w:tcW w:type="dxa" w:w="3061"/>
          </w:tcPr>
          <w:p>
            <w:pPr>
              <w:spacing w:after="40" w:line="276" w:lineRule="auto"/>
            </w:pPr>
            <w:r/>
            <w:r>
              <w:rPr>
                <w:rFonts w:ascii="宋体" w:hAnsi="宋体" w:eastAsia="宋体"/>
                <w:sz w:val="20"/>
              </w:rPr>
              <w:t>OCR 识别与真实审核流程尚未接入</w:t>
            </w:r>
          </w:p>
        </w:tc>
        <w:tc>
          <w:tcPr>
            <w:tcW w:type="dxa" w:w="2721"/>
          </w:tcPr>
          <w:p>
            <w:pPr>
              <w:spacing w:after="40" w:line="276" w:lineRule="auto"/>
            </w:pPr>
            <w:r/>
            <w:r>
              <w:rPr>
                <w:rFonts w:ascii="宋体" w:hAnsi="宋体" w:eastAsia="宋体"/>
                <w:sz w:val="20"/>
              </w:rPr>
              <w:t>对接真实证件识别与人工审核后台</w:t>
            </w:r>
          </w:p>
        </w:tc>
      </w:tr>
      <w:tr>
        <w:tc>
          <w:tcPr>
            <w:tcW w:type="dxa" w:w="2835"/>
          </w:tcPr>
          <w:p>
            <w:pPr>
              <w:spacing w:after="40" w:line="276" w:lineRule="auto"/>
              <w:jc w:val="center"/>
            </w:pPr>
            <w:r/>
            <w:r>
              <w:rPr>
                <w:rFonts w:ascii="宋体" w:hAnsi="宋体" w:eastAsia="宋体"/>
                <w:sz w:val="20"/>
              </w:rPr>
              <w:t>尚未接入单元测试框架与性能度量</w:t>
            </w:r>
          </w:p>
        </w:tc>
        <w:tc>
          <w:tcPr>
            <w:tcW w:type="dxa" w:w="3061"/>
          </w:tcPr>
          <w:p>
            <w:pPr>
              <w:spacing w:after="40" w:line="276" w:lineRule="auto"/>
            </w:pPr>
            <w:r/>
            <w:r>
              <w:rPr>
                <w:rFonts w:ascii="宋体" w:hAnsi="宋体" w:eastAsia="宋体"/>
                <w:sz w:val="20"/>
              </w:rPr>
              <w:t>验证依赖脚本式流程驱动与人工比对</w:t>
            </w:r>
          </w:p>
        </w:tc>
        <w:tc>
          <w:tcPr>
            <w:tcW w:type="dxa" w:w="2721"/>
          </w:tcPr>
          <w:p>
            <w:pPr>
              <w:spacing w:after="40" w:line="276" w:lineRule="auto"/>
            </w:pPr>
            <w:r/>
            <w:r>
              <w:rPr>
                <w:rFonts w:ascii="宋体" w:hAnsi="宋体" w:eastAsia="宋体"/>
                <w:sz w:val="20"/>
              </w:rPr>
              <w:t>引入测试框架与首屏耗时、包体积的自动化度量</w:t>
            </w:r>
          </w:p>
        </w:tc>
      </w:tr>
    </w:tbl>
    <w:p>
      <w:pPr>
        <w:spacing w:before="80" w:after="160"/>
        <w:jc w:val="center"/>
      </w:pPr>
      <w:r>
        <w:rPr>
          <w:rFonts w:ascii="黑体" w:hAnsi="黑体" w:eastAsia="黑体"/>
          <w:b/>
          <w:sz w:val="21"/>
        </w:rPr>
        <w:t>表 4  当前局限与后续计划</w:t>
      </w:r>
    </w:p>
    <w:p>
      <w:pPr>
        <w:spacing w:before="0" w:after="0"/>
        <w:ind w:firstLine="480"/>
      </w:pPr>
      <w:r>
        <w:rPr>
          <w:rFonts w:ascii="宋体" w:hAnsi="宋体" w:eastAsia="宋体"/>
          <w:b w:val="0"/>
          <w:sz w:val="24"/>
        </w:rPr>
        <w:t>最后需要说明的是，本作品在技术文档中坚持“所有结论均以代码中真实存在的文件、函数、常量、字段为依据”，凡代码中无法确证的内容一律标注为推断，凡未实现的功能一律如实列出并标注 TODO 位置。项目组认为，一个学生作品的可信度不仅来自它实现了什么，也来自它敢于说明自己还没有实现什么。</w:t>
      </w:r>
    </w:p>
    <w:p>
      <w:pPr>
        <w:spacing w:before="240"/>
        <w:jc w:val="right"/>
      </w:pPr>
      <w:r>
        <w:rPr>
          <w:rFonts w:ascii="宋体" w:hAnsi="宋体" w:eastAsia="宋体"/>
          <w:color w:val="595959"/>
          <w:sz w:val="21"/>
        </w:rPr>
        <w:t>（申报材料正文完）</w:t>
      </w:r>
    </w:p>
    <w:sectPr w:rsidR="00FC693F" w:rsidRPr="0006063C" w:rsidSect="00034616">
      <w:pgSz w:w="11906" w:h="16838"/>
      <w:pgMar w:top="1440" w:right="147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