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微软雅黑" w:hAnsi="微软雅黑" w:eastAsia="微软雅黑"/>
          <w:b/>
          <w:color w:val="6D4AFF"/>
          <w:sz w:val="18"/>
        </w:rPr>
        <w:t>京师家教可信对接平台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0A0A0C"/>
          <w:sz w:val="48"/>
        </w:rPr>
        <w:t>风险词库与内容合规规则</w:t>
      </w:r>
    </w:p>
    <w:p>
      <w:pPr>
        <w:spacing w:after="280" w:before="0"/>
      </w:pPr>
      <w:r>
        <w:rPr>
          <w:rFonts w:ascii="微软雅黑" w:hAnsi="微软雅黑" w:eastAsia="微软雅黑"/>
          <w:b w:val="0"/>
          <w:color w:val="5C5F6B"/>
          <w:sz w:val="20"/>
        </w:rPr>
        <w:t>版本 v0.2.0 · 生效现状说明 · 生成日期 2026-10-22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143"/>
      </w:tblGrid>
      <w:tr>
        <w:trPr>
          <w:tblHeader w:val="true"/>
        </w:trPr>
        <w:tc>
          <w:tcPr>
            <w:tcW w:type="dxa" w:w="1928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项目</w:t>
            </w:r>
          </w:p>
        </w:tc>
        <w:tc>
          <w:tcPr>
            <w:tcW w:type="dxa" w:w="7143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生效风险词</w:t>
            </w:r>
          </w:p>
        </w:tc>
        <w:tc>
          <w:tcPr>
            <w:tcW w:type="dxa" w:w="7143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21 条（基础 15 条 + 双减政策 6 条）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风险分类</w:t>
            </w:r>
          </w:p>
        </w:tc>
        <w:tc>
          <w:tcPr>
            <w:tcW w:type="dxa" w:w="7143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收费陷阱、人身与证件安全、金融风险、虚假宣传、违法违规、中介风险、双减政策（共 7 类）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命中处理</w:t>
            </w:r>
          </w:p>
        </w:tc>
        <w:tc>
          <w:tcPr>
            <w:tcW w:type="dxa" w:w="7143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风险词 → 二次确认（可继续）；双减红线 → 硬拦截（不可继续）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判定依据</w:t>
            </w:r>
          </w:p>
        </w:tc>
        <w:tc>
          <w:tcPr>
            <w:tcW w:type="dxa" w:w="7143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需求标题、详细描述、补充要求等文本字段的关键词匹配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权威数据源</w:t>
            </w:r>
          </w:p>
        </w:tc>
        <w:tc>
          <w:tcPr>
            <w:tcW w:type="dxa" w:w="7143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cloudfunctions/common/riskWords.js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同步副本</w:t>
            </w:r>
          </w:p>
        </w:tc>
        <w:tc>
          <w:tcPr>
            <w:tcW w:type="dxa" w:w="7143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云函数 2 处、小程序 2 处、数据库种子 1 处（见第七章）</w:t>
            </w:r>
          </w:p>
        </w:tc>
      </w:tr>
    </w:tbl>
    <w:p>
      <w:pPr>
        <w:keepNext/>
        <w:spacing w:before="320" w:after="140"/>
        <w:pBdr>
          <w:bottom w:val="single" w:sz="6" w:space="4" w:color="E6E8EF"/>
        </w:pBdr>
      </w:pPr>
      <w:r>
        <w:rPr>
          <w:rFonts w:ascii="微软雅黑" w:hAnsi="微软雅黑" w:eastAsia="微软雅黑"/>
          <w:b/>
          <w:color w:val="0A0A0C"/>
          <w:sz w:val="30"/>
        </w:rPr>
        <w:t>一、词库总体情况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0A0A0C"/>
          <w:sz w:val="21"/>
        </w:rPr>
        <w:t>风险词库是本平台内容风控的第一道闸门：家长发布需求、师范生填写介绍时，系统会实时扫描文本并给出分级提示。词库分为两类，处理方式完全不同——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0A0A0C"/>
          <w:sz w:val="20"/>
        </w:rPr>
        <w:t>① 基础风险词（15 条）：针对诈骗、收费、证件、贷款、虚假宣传等典型套路，命中后弹出风险确认弹窗，用户确认无误可继续发布，但提示会保留在需求详情与对接报告中。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0A0A0C"/>
          <w:sz w:val="20"/>
        </w:rPr>
        <w:t>② 双减政策风险词（6 条）：针对学科类培训的休息日违规，命中后直接硬拦截，弹窗不提供「继续」按钮，从源头阻断违规需求发布。</w:t>
      </w:r>
    </w:p>
    <w:p>
      <w:r>
        <w:br w:type="page"/>
      </w:r>
    </w:p>
    <w:p>
      <w:pPr>
        <w:keepNext/>
        <w:spacing w:before="320" w:after="140"/>
        <w:pBdr>
          <w:bottom w:val="single" w:sz="6" w:space="4" w:color="E6E8EF"/>
        </w:pBdr>
      </w:pPr>
      <w:r>
        <w:rPr>
          <w:rFonts w:ascii="微软雅黑" w:hAnsi="微软雅黑" w:eastAsia="微软雅黑"/>
          <w:b/>
          <w:color w:val="0A0A0C"/>
          <w:sz w:val="30"/>
        </w:rPr>
        <w:t>二、风险词清单</w:t>
      </w:r>
    </w:p>
    <w:p>
      <w:pPr>
        <w:keepNext/>
        <w:spacing w:before="220" w:after="140"/>
      </w:pPr>
      <w:r>
        <w:rPr>
          <w:rFonts w:ascii="微软雅黑" w:hAnsi="微软雅黑" w:eastAsia="微软雅黑"/>
          <w:b/>
          <w:color w:val="0A0A0C"/>
          <w:sz w:val="24"/>
        </w:rPr>
        <w:t>2.1 基础风险词（15 条）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1276"/>
        <w:gridCol w:w="1559"/>
        <w:gridCol w:w="822"/>
        <w:gridCol w:w="4649"/>
      </w:tblGrid>
      <w:tr>
        <w:trPr>
          <w:tblHeader w:val="true"/>
        </w:trPr>
        <w:tc>
          <w:tcPr>
            <w:tcW w:type="dxa" w:w="765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序号</w:t>
            </w:r>
          </w:p>
        </w:tc>
        <w:tc>
          <w:tcPr>
            <w:tcW w:type="dxa" w:w="1276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风险词</w:t>
            </w:r>
          </w:p>
        </w:tc>
        <w:tc>
          <w:tcPr>
            <w:tcW w:type="dxa" w:w="1559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分类</w:t>
            </w:r>
          </w:p>
        </w:tc>
        <w:tc>
          <w:tcPr>
            <w:tcW w:type="dxa" w:w="822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等级</w:t>
            </w:r>
          </w:p>
        </w:tc>
        <w:tc>
          <w:tcPr>
            <w:tcW w:type="dxa" w:w="4649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命中提示文案</w:t>
            </w:r>
          </w:p>
        </w:tc>
      </w:tr>
      <w:tr>
        <w:trPr>
          <w:cantSplit w:val="true"/>
        </w:trPr>
        <w:tc>
          <w:tcPr>
            <w:tcW w:type="dxa" w:w="765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1</w:t>
            </w:r>
          </w:p>
        </w:tc>
        <w:tc>
          <w:tcPr>
            <w:tcW w:type="dxa" w:w="1276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交押金</w:t>
            </w:r>
          </w:p>
        </w:tc>
        <w:tc>
          <w:tcPr>
            <w:tcW w:type="dxa" w:w="155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收费陷阱</w:t>
            </w:r>
          </w:p>
        </w:tc>
        <w:tc>
          <w:tcPr>
            <w:tcW w:type="dxa" w:w="822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8"/>
              </w:rPr>
              <w:t>高风险</w:t>
            </w:r>
          </w:p>
        </w:tc>
        <w:tc>
          <w:tcPr>
            <w:tcW w:type="dxa" w:w="464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任何要求先交押金的订单都极可能是骗局，正规家教不存在押金。</w:t>
            </w:r>
          </w:p>
        </w:tc>
      </w:tr>
      <w:tr>
        <w:trPr>
          <w:cantSplit w:val="true"/>
        </w:trPr>
        <w:tc>
          <w:tcPr>
            <w:tcW w:type="dxa" w:w="765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2</w:t>
            </w:r>
          </w:p>
        </w:tc>
        <w:tc>
          <w:tcPr>
            <w:tcW w:type="dxa" w:w="1276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押金</w:t>
            </w:r>
          </w:p>
        </w:tc>
        <w:tc>
          <w:tcPr>
            <w:tcW w:type="dxa" w:w="155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收费陷阱</w:t>
            </w:r>
          </w:p>
        </w:tc>
        <w:tc>
          <w:tcPr>
            <w:tcW w:type="dxa" w:w="822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8"/>
              </w:rPr>
              <w:t>高风险</w:t>
            </w:r>
          </w:p>
        </w:tc>
        <w:tc>
          <w:tcPr>
            <w:tcW w:type="dxa" w:w="464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平台禁止收取押金，遇到请立即停止沟通并举报。</w:t>
            </w:r>
          </w:p>
        </w:tc>
      </w:tr>
      <w:tr>
        <w:trPr>
          <w:cantSplit w:val="true"/>
        </w:trPr>
        <w:tc>
          <w:tcPr>
            <w:tcW w:type="dxa" w:w="765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3</w:t>
            </w:r>
          </w:p>
        </w:tc>
        <w:tc>
          <w:tcPr>
            <w:tcW w:type="dxa" w:w="1276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保证金</w:t>
            </w:r>
          </w:p>
        </w:tc>
        <w:tc>
          <w:tcPr>
            <w:tcW w:type="dxa" w:w="155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收费陷阱</w:t>
            </w:r>
          </w:p>
        </w:tc>
        <w:tc>
          <w:tcPr>
            <w:tcW w:type="dxa" w:w="822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8"/>
              </w:rPr>
              <w:t>高风险</w:t>
            </w:r>
          </w:p>
        </w:tc>
        <w:tc>
          <w:tcPr>
            <w:tcW w:type="dxa" w:w="464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以保证金名义收费属于典型套路，平台绝不介入资金往来。</w:t>
            </w:r>
          </w:p>
        </w:tc>
      </w:tr>
      <w:tr>
        <w:trPr>
          <w:cantSplit w:val="true"/>
        </w:trPr>
        <w:tc>
          <w:tcPr>
            <w:tcW w:type="dxa" w:w="765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4</w:t>
            </w:r>
          </w:p>
        </w:tc>
        <w:tc>
          <w:tcPr>
            <w:tcW w:type="dxa" w:w="1276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扣押证件</w:t>
            </w:r>
          </w:p>
        </w:tc>
        <w:tc>
          <w:tcPr>
            <w:tcW w:type="dxa" w:w="155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人身与证件安全</w:t>
            </w:r>
          </w:p>
        </w:tc>
        <w:tc>
          <w:tcPr>
            <w:tcW w:type="dxa" w:w="822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8"/>
              </w:rPr>
              <w:t>高风险</w:t>
            </w:r>
          </w:p>
        </w:tc>
        <w:tc>
          <w:tcPr>
            <w:tcW w:type="dxa" w:w="464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任何单位或个人无权扣押他人证件，涉嫌违法，请立即终止对接。</w:t>
            </w:r>
          </w:p>
        </w:tc>
      </w:tr>
      <w:tr>
        <w:trPr>
          <w:cantSplit w:val="true"/>
        </w:trPr>
        <w:tc>
          <w:tcPr>
            <w:tcW w:type="dxa" w:w="765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5</w:t>
            </w:r>
          </w:p>
        </w:tc>
        <w:tc>
          <w:tcPr>
            <w:tcW w:type="dxa" w:w="1276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身份证</w:t>
            </w:r>
          </w:p>
        </w:tc>
        <w:tc>
          <w:tcPr>
            <w:tcW w:type="dxa" w:w="155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人身与证件安全</w:t>
            </w:r>
          </w:p>
        </w:tc>
        <w:tc>
          <w:tcPr>
            <w:tcW w:type="dxa" w:w="822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B26A00"/>
                <w:sz w:val="18"/>
              </w:rPr>
              <w:t>中风险</w:t>
            </w:r>
          </w:p>
        </w:tc>
        <w:tc>
          <w:tcPr>
            <w:tcW w:type="dxa" w:w="464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平台不采集身份证信息；如对方索要身份证照片或原件，请拒绝。</w:t>
            </w:r>
          </w:p>
        </w:tc>
      </w:tr>
      <w:tr>
        <w:trPr>
          <w:cantSplit w:val="true"/>
        </w:trPr>
        <w:tc>
          <w:tcPr>
            <w:tcW w:type="dxa" w:w="765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6</w:t>
            </w:r>
          </w:p>
        </w:tc>
        <w:tc>
          <w:tcPr>
            <w:tcW w:type="dxa" w:w="1276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培训贷</w:t>
            </w:r>
          </w:p>
        </w:tc>
        <w:tc>
          <w:tcPr>
            <w:tcW w:type="dxa" w:w="155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金融风险</w:t>
            </w:r>
          </w:p>
        </w:tc>
        <w:tc>
          <w:tcPr>
            <w:tcW w:type="dxa" w:w="822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8"/>
              </w:rPr>
              <w:t>高风险</w:t>
            </w:r>
          </w:p>
        </w:tc>
        <w:tc>
          <w:tcPr>
            <w:tcW w:type="dxa" w:w="464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“先培训后上岗、分期还款”是培训贷典型话术，切勿签署任何贷款协议。</w:t>
            </w:r>
          </w:p>
        </w:tc>
      </w:tr>
      <w:tr>
        <w:trPr>
          <w:cantSplit w:val="true"/>
        </w:trPr>
        <w:tc>
          <w:tcPr>
            <w:tcW w:type="dxa" w:w="765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7</w:t>
            </w:r>
          </w:p>
        </w:tc>
        <w:tc>
          <w:tcPr>
            <w:tcW w:type="dxa" w:w="1276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贷款</w:t>
            </w:r>
          </w:p>
        </w:tc>
        <w:tc>
          <w:tcPr>
            <w:tcW w:type="dxa" w:w="155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金融风险</w:t>
            </w:r>
          </w:p>
        </w:tc>
        <w:tc>
          <w:tcPr>
            <w:tcW w:type="dxa" w:w="822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8"/>
              </w:rPr>
              <w:t>高风险</w:t>
            </w:r>
          </w:p>
        </w:tc>
        <w:tc>
          <w:tcPr>
            <w:tcW w:type="dxa" w:w="464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家教兼职不需要任何形式的贷款，涉及贷款一律终止。</w:t>
            </w:r>
          </w:p>
        </w:tc>
      </w:tr>
      <w:tr>
        <w:trPr>
          <w:cantSplit w:val="true"/>
        </w:trPr>
        <w:tc>
          <w:tcPr>
            <w:tcW w:type="dxa" w:w="765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8</w:t>
            </w:r>
          </w:p>
        </w:tc>
        <w:tc>
          <w:tcPr>
            <w:tcW w:type="dxa" w:w="1276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日入过千</w:t>
            </w:r>
          </w:p>
        </w:tc>
        <w:tc>
          <w:tcPr>
            <w:tcW w:type="dxa" w:w="155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虚假宣传</w:t>
            </w:r>
          </w:p>
        </w:tc>
        <w:tc>
          <w:tcPr>
            <w:tcW w:type="dxa" w:w="822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8"/>
              </w:rPr>
              <w:t>高风险</w:t>
            </w:r>
          </w:p>
        </w:tc>
        <w:tc>
          <w:tcPr>
            <w:tcW w:type="dxa" w:w="464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家教收入与课时挂钩，宣称“日入过千”基本是招募话术或刷单陷阱。</w:t>
            </w:r>
          </w:p>
        </w:tc>
      </w:tr>
      <w:tr>
        <w:trPr>
          <w:cantSplit w:val="true"/>
        </w:trPr>
        <w:tc>
          <w:tcPr>
            <w:tcW w:type="dxa" w:w="765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9</w:t>
            </w:r>
          </w:p>
        </w:tc>
        <w:tc>
          <w:tcPr>
            <w:tcW w:type="dxa" w:w="1276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轻松月入过万</w:t>
            </w:r>
          </w:p>
        </w:tc>
        <w:tc>
          <w:tcPr>
            <w:tcW w:type="dxa" w:w="155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虚假宣传</w:t>
            </w:r>
          </w:p>
        </w:tc>
        <w:tc>
          <w:tcPr>
            <w:tcW w:type="dxa" w:w="822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8"/>
              </w:rPr>
              <w:t>高风险</w:t>
            </w:r>
          </w:p>
        </w:tc>
        <w:tc>
          <w:tcPr>
            <w:tcW w:type="dxa" w:w="464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高薪承诺往往是引流话术，请以真实课时费和结算方式为准。</w:t>
            </w:r>
          </w:p>
        </w:tc>
      </w:tr>
      <w:tr>
        <w:trPr>
          <w:cantSplit w:val="true"/>
        </w:trPr>
        <w:tc>
          <w:tcPr>
            <w:tcW w:type="dxa" w:w="765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10</w:t>
            </w:r>
          </w:p>
        </w:tc>
        <w:tc>
          <w:tcPr>
            <w:tcW w:type="dxa" w:w="1276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刷单</w:t>
            </w:r>
          </w:p>
        </w:tc>
        <w:tc>
          <w:tcPr>
            <w:tcW w:type="dxa" w:w="155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违法违规</w:t>
            </w:r>
          </w:p>
        </w:tc>
        <w:tc>
          <w:tcPr>
            <w:tcW w:type="dxa" w:w="822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8"/>
              </w:rPr>
              <w:t>高风险</w:t>
            </w:r>
          </w:p>
        </w:tc>
        <w:tc>
          <w:tcPr>
            <w:tcW w:type="dxa" w:w="464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刷单本身属于违法行为，与家教无关，请直接举报。</w:t>
            </w:r>
          </w:p>
        </w:tc>
      </w:tr>
      <w:tr>
        <w:trPr>
          <w:cantSplit w:val="true"/>
        </w:trPr>
        <w:tc>
          <w:tcPr>
            <w:tcW w:type="dxa" w:w="765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11</w:t>
            </w:r>
          </w:p>
        </w:tc>
        <w:tc>
          <w:tcPr>
            <w:tcW w:type="dxa" w:w="1276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黑中介</w:t>
            </w:r>
          </w:p>
        </w:tc>
        <w:tc>
          <w:tcPr>
            <w:tcW w:type="dxa" w:w="155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中介风险</w:t>
            </w:r>
          </w:p>
        </w:tc>
        <w:tc>
          <w:tcPr>
            <w:tcW w:type="dxa" w:w="822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8"/>
              </w:rPr>
              <w:t>高风险</w:t>
            </w:r>
          </w:p>
        </w:tc>
        <w:tc>
          <w:tcPr>
            <w:tcW w:type="dxa" w:w="464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无资质中介常以老乡、学长名义拉人，建议只通过平台内认证账号对接。</w:t>
            </w:r>
          </w:p>
        </w:tc>
      </w:tr>
      <w:tr>
        <w:trPr>
          <w:cantSplit w:val="true"/>
        </w:trPr>
        <w:tc>
          <w:tcPr>
            <w:tcW w:type="dxa" w:w="765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12</w:t>
            </w:r>
          </w:p>
        </w:tc>
        <w:tc>
          <w:tcPr>
            <w:tcW w:type="dxa" w:w="1276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中介费</w:t>
            </w:r>
          </w:p>
        </w:tc>
        <w:tc>
          <w:tcPr>
            <w:tcW w:type="dxa" w:w="155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中介风险</w:t>
            </w:r>
          </w:p>
        </w:tc>
        <w:tc>
          <w:tcPr>
            <w:tcW w:type="dxa" w:w="822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B26A00"/>
                <w:sz w:val="18"/>
              </w:rPr>
              <w:t>中风险</w:t>
            </w:r>
          </w:p>
        </w:tc>
        <w:tc>
          <w:tcPr>
            <w:tcW w:type="dxa" w:w="464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平台不收取中介费；若第三方索要中介费，请先核实其资质。</w:t>
            </w:r>
          </w:p>
        </w:tc>
      </w:tr>
      <w:tr>
        <w:trPr>
          <w:cantSplit w:val="true"/>
        </w:trPr>
        <w:tc>
          <w:tcPr>
            <w:tcW w:type="dxa" w:w="765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13</w:t>
            </w:r>
          </w:p>
        </w:tc>
        <w:tc>
          <w:tcPr>
            <w:tcW w:type="dxa" w:w="1276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先交费</w:t>
            </w:r>
          </w:p>
        </w:tc>
        <w:tc>
          <w:tcPr>
            <w:tcW w:type="dxa" w:w="155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收费陷阱</w:t>
            </w:r>
          </w:p>
        </w:tc>
        <w:tc>
          <w:tcPr>
            <w:tcW w:type="dxa" w:w="822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B26A00"/>
                <w:sz w:val="18"/>
              </w:rPr>
              <w:t>中风险</w:t>
            </w:r>
          </w:p>
        </w:tc>
        <w:tc>
          <w:tcPr>
            <w:tcW w:type="dxa" w:w="464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“先交费再安排学生”是常见套路，正规流程不会要求提前付费。</w:t>
            </w:r>
          </w:p>
        </w:tc>
      </w:tr>
      <w:tr>
        <w:trPr>
          <w:cantSplit w:val="true"/>
        </w:trPr>
        <w:tc>
          <w:tcPr>
            <w:tcW w:type="dxa" w:w="765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14</w:t>
            </w:r>
          </w:p>
        </w:tc>
        <w:tc>
          <w:tcPr>
            <w:tcW w:type="dxa" w:w="1276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服装费</w:t>
            </w:r>
          </w:p>
        </w:tc>
        <w:tc>
          <w:tcPr>
            <w:tcW w:type="dxa" w:w="155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收费陷阱</w:t>
            </w:r>
          </w:p>
        </w:tc>
        <w:tc>
          <w:tcPr>
            <w:tcW w:type="dxa" w:w="822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B26A00"/>
                <w:sz w:val="18"/>
              </w:rPr>
              <w:t>中风险</w:t>
            </w:r>
          </w:p>
        </w:tc>
        <w:tc>
          <w:tcPr>
            <w:tcW w:type="dxa" w:w="464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以服装费、工牌费名义收费属于变相收费，请拒绝。</w:t>
            </w:r>
          </w:p>
        </w:tc>
      </w:tr>
      <w:tr>
        <w:trPr>
          <w:cantSplit w:val="true"/>
        </w:trPr>
        <w:tc>
          <w:tcPr>
            <w:tcW w:type="dxa" w:w="765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15</w:t>
            </w:r>
          </w:p>
        </w:tc>
        <w:tc>
          <w:tcPr>
            <w:tcW w:type="dxa" w:w="1276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8"/>
              </w:rPr>
              <w:t>体检费</w:t>
            </w:r>
          </w:p>
        </w:tc>
        <w:tc>
          <w:tcPr>
            <w:tcW w:type="dxa" w:w="155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收费陷阱</w:t>
            </w:r>
          </w:p>
        </w:tc>
        <w:tc>
          <w:tcPr>
            <w:tcW w:type="dxa" w:w="822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B26A00"/>
                <w:sz w:val="18"/>
              </w:rPr>
              <w:t>中风险</w:t>
            </w:r>
          </w:p>
        </w:tc>
        <w:tc>
          <w:tcPr>
            <w:tcW w:type="dxa" w:w="464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8"/>
              </w:rPr>
              <w:t>家教岗位无强制体检要求，涉及体检费请谨慎核实。</w:t>
            </w:r>
          </w:p>
        </w:tc>
      </w:tr>
    </w:tbl>
    <w:p>
      <w:pPr>
        <w:keepNext/>
        <w:spacing w:before="220" w:after="140"/>
      </w:pPr>
      <w:r>
        <w:rPr>
          <w:rFonts w:ascii="微软雅黑" w:hAnsi="微软雅黑" w:eastAsia="微软雅黑"/>
          <w:b/>
          <w:color w:val="0A0A0C"/>
          <w:sz w:val="24"/>
        </w:rPr>
        <w:t>2.2 双减政策风险词（6 条）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1276"/>
        <w:gridCol w:w="1559"/>
        <w:gridCol w:w="822"/>
        <w:gridCol w:w="4649"/>
      </w:tblGrid>
      <w:tr>
        <w:trPr>
          <w:tblHeader w:val="true"/>
        </w:trPr>
        <w:tc>
          <w:tcPr>
            <w:tcW w:type="dxa" w:w="765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序号</w:t>
            </w:r>
          </w:p>
        </w:tc>
        <w:tc>
          <w:tcPr>
            <w:tcW w:type="dxa" w:w="1276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风险词</w:t>
            </w:r>
          </w:p>
        </w:tc>
        <w:tc>
          <w:tcPr>
            <w:tcW w:type="dxa" w:w="1559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分类</w:t>
            </w:r>
          </w:p>
        </w:tc>
        <w:tc>
          <w:tcPr>
            <w:tcW w:type="dxa" w:w="822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等级</w:t>
            </w:r>
          </w:p>
        </w:tc>
        <w:tc>
          <w:tcPr>
            <w:tcW w:type="dxa" w:w="4649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命中提示文案</w:t>
            </w:r>
          </w:p>
        </w:tc>
      </w:tr>
      <w:tr>
        <w:trPr>
          <w:cantSplit w:val="true"/>
        </w:trPr>
        <w:tc>
          <w:tcPr>
            <w:tcW w:type="dxa" w:w="765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1</w:t>
            </w:r>
          </w:p>
        </w:tc>
        <w:tc>
          <w:tcPr>
            <w:tcW w:type="dxa" w:w="1276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周末补课</w:t>
            </w:r>
          </w:p>
        </w:tc>
        <w:tc>
          <w:tcPr>
            <w:tcW w:type="dxa" w:w="155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双减政策</w:t>
            </w:r>
          </w:p>
        </w:tc>
        <w:tc>
          <w:tcPr>
            <w:tcW w:type="dxa" w:w="822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9"/>
              </w:rPr>
              <w:t>高风险</w:t>
            </w:r>
          </w:p>
        </w:tc>
        <w:tc>
          <w:tcPr>
            <w:tcW w:type="dxa" w:w="464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学科类培训不得在周末开展；如需周末安排，请改为素质拓展类科目。</w:t>
            </w:r>
          </w:p>
        </w:tc>
      </w:tr>
      <w:tr>
        <w:trPr>
          <w:cantSplit w:val="true"/>
        </w:trPr>
        <w:tc>
          <w:tcPr>
            <w:tcW w:type="dxa" w:w="765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2</w:t>
            </w:r>
          </w:p>
        </w:tc>
        <w:tc>
          <w:tcPr>
            <w:tcW w:type="dxa" w:w="1276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节假日补课</w:t>
            </w:r>
          </w:p>
        </w:tc>
        <w:tc>
          <w:tcPr>
            <w:tcW w:type="dxa" w:w="155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双减政策</w:t>
            </w:r>
          </w:p>
        </w:tc>
        <w:tc>
          <w:tcPr>
            <w:tcW w:type="dxa" w:w="822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9"/>
              </w:rPr>
              <w:t>高风险</w:t>
            </w:r>
          </w:p>
        </w:tc>
        <w:tc>
          <w:tcPr>
            <w:tcW w:type="dxa" w:w="464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法定节假日禁止开展学科类培训，请调整到工作日。</w:t>
            </w:r>
          </w:p>
        </w:tc>
      </w:tr>
      <w:tr>
        <w:trPr>
          <w:cantSplit w:val="true"/>
        </w:trPr>
        <w:tc>
          <w:tcPr>
            <w:tcW w:type="dxa" w:w="765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3</w:t>
            </w:r>
          </w:p>
        </w:tc>
        <w:tc>
          <w:tcPr>
            <w:tcW w:type="dxa" w:w="1276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寒暑假补课</w:t>
            </w:r>
          </w:p>
        </w:tc>
        <w:tc>
          <w:tcPr>
            <w:tcW w:type="dxa" w:w="155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双减政策</w:t>
            </w:r>
          </w:p>
        </w:tc>
        <w:tc>
          <w:tcPr>
            <w:tcW w:type="dxa" w:w="822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9"/>
              </w:rPr>
              <w:t>高风险</w:t>
            </w:r>
          </w:p>
        </w:tc>
        <w:tc>
          <w:tcPr>
            <w:tcW w:type="dxa" w:w="464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寒暑假禁止开展学科类培训，请调整到工作日。</w:t>
            </w:r>
          </w:p>
        </w:tc>
      </w:tr>
      <w:tr>
        <w:trPr>
          <w:cantSplit w:val="true"/>
        </w:trPr>
        <w:tc>
          <w:tcPr>
            <w:tcW w:type="dxa" w:w="765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4</w:t>
            </w:r>
          </w:p>
        </w:tc>
        <w:tc>
          <w:tcPr>
            <w:tcW w:type="dxa" w:w="1276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学科类培训</w:t>
            </w:r>
          </w:p>
        </w:tc>
        <w:tc>
          <w:tcPr>
            <w:tcW w:type="dxa" w:w="155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双减政策</w:t>
            </w:r>
          </w:p>
        </w:tc>
        <w:tc>
          <w:tcPr>
            <w:tcW w:type="dxa" w:w="822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9"/>
              </w:rPr>
              <w:t>高风险</w:t>
            </w:r>
          </w:p>
        </w:tc>
        <w:tc>
          <w:tcPr>
            <w:tcW w:type="dxa" w:w="464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平台仅提供个人零星家教撮合，不组织学科类培训；请按非学科或工作日时段安排。</w:t>
            </w:r>
          </w:p>
        </w:tc>
      </w:tr>
      <w:tr>
        <w:trPr>
          <w:cantSplit w:val="true"/>
        </w:trPr>
        <w:tc>
          <w:tcPr>
            <w:tcW w:type="dxa" w:w="765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5</w:t>
            </w:r>
          </w:p>
        </w:tc>
        <w:tc>
          <w:tcPr>
            <w:tcW w:type="dxa" w:w="1276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学前班学科培训</w:t>
            </w:r>
          </w:p>
        </w:tc>
        <w:tc>
          <w:tcPr>
            <w:tcW w:type="dxa" w:w="155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双减政策</w:t>
            </w:r>
          </w:p>
        </w:tc>
        <w:tc>
          <w:tcPr>
            <w:tcW w:type="dxa" w:w="822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9"/>
              </w:rPr>
              <w:t>高风险</w:t>
            </w:r>
          </w:p>
        </w:tc>
        <w:tc>
          <w:tcPr>
            <w:tcW w:type="dxa" w:w="464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学龄前儿童（含幼小衔接、学前班）不得开展学科类培训。</w:t>
            </w:r>
          </w:p>
        </w:tc>
      </w:tr>
      <w:tr>
        <w:trPr>
          <w:cantSplit w:val="true"/>
        </w:trPr>
        <w:tc>
          <w:tcPr>
            <w:tcW w:type="dxa" w:w="765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6</w:t>
            </w:r>
          </w:p>
        </w:tc>
        <w:tc>
          <w:tcPr>
            <w:tcW w:type="dxa" w:w="1276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超前教学</w:t>
            </w:r>
          </w:p>
        </w:tc>
        <w:tc>
          <w:tcPr>
            <w:tcW w:type="dxa" w:w="155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双减政策</w:t>
            </w:r>
          </w:p>
        </w:tc>
        <w:tc>
          <w:tcPr>
            <w:tcW w:type="dxa" w:w="822"/>
            <w:shd w:val="clear" w:color="auto" w:fill="FAFAFC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92D20"/>
                <w:sz w:val="19"/>
              </w:rPr>
              <w:t>高风险</w:t>
            </w:r>
          </w:p>
        </w:tc>
        <w:tc>
          <w:tcPr>
            <w:tcW w:type="dxa" w:w="464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禁止超前超纲教学，请按孩子当前学段进度安排内容。</w:t>
            </w:r>
          </w:p>
        </w:tc>
      </w:tr>
    </w:tbl>
    <w:p>
      <w:pPr>
        <w:keepNext/>
        <w:spacing w:before="320" w:after="140"/>
        <w:pBdr>
          <w:bottom w:val="single" w:sz="6" w:space="4" w:color="E6E8EF"/>
        </w:pBdr>
      </w:pPr>
      <w:r>
        <w:rPr>
          <w:rFonts w:ascii="微软雅黑" w:hAnsi="微软雅黑" w:eastAsia="微软雅黑"/>
          <w:b/>
          <w:color w:val="0A0A0C"/>
          <w:sz w:val="30"/>
        </w:rPr>
        <w:t>三、风险等级与处置方式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0A0A0C"/>
          <w:sz w:val="21"/>
        </w:rPr>
        <w:t>等级决定界面配色与文案，处置方式决定用户能否绕过。二者相互独立，不能混用。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474"/>
        <w:gridCol w:w="6350"/>
      </w:tblGrid>
      <w:tr>
        <w:trPr>
          <w:tblHeader w:val="true"/>
        </w:trPr>
        <w:tc>
          <w:tcPr>
            <w:tcW w:type="dxa" w:w="1247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等级</w:t>
            </w:r>
          </w:p>
        </w:tc>
        <w:tc>
          <w:tcPr>
            <w:tcW w:type="dxa" w:w="1474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主题色</w:t>
            </w:r>
          </w:p>
        </w:tc>
        <w:tc>
          <w:tcPr>
            <w:tcW w:type="dxa" w:w="6350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界面说明文案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D92D20"/>
                <w:sz w:val="19"/>
              </w:rPr>
              <w:t>高风险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#F04438</w:t>
            </w:r>
          </w:p>
        </w:tc>
        <w:tc>
          <w:tcPr>
            <w:tcW w:type="dxa" w:w="6350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检测到押金、证件、贷款等典型诈骗特征，强烈建议终止对接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B26A00"/>
                <w:sz w:val="19"/>
              </w:rPr>
              <w:t>中风险</w:t>
            </w:r>
          </w:p>
        </w:tc>
        <w:tc>
          <w:tcPr>
            <w:tcW w:type="dxa" w:w="1474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#F79009</w:t>
            </w:r>
          </w:p>
        </w:tc>
        <w:tc>
          <w:tcPr>
            <w:tcW w:type="dxa" w:w="6350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检测到收费/资质类敏感表述，请在沟通中核实清楚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低风险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#17B26A</w:t>
            </w:r>
          </w:p>
        </w:tc>
        <w:tc>
          <w:tcPr>
            <w:tcW w:type="dxa" w:w="6350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未发现明显风险词，仍建议线下首次见面选在公共场所</w:t>
            </w:r>
          </w:p>
        </w:tc>
      </w:tr>
    </w:tbl>
    <w:p>
      <w:pPr>
        <w:spacing w:after="80" w:before="0"/>
      </w:pP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28"/>
        <w:gridCol w:w="5443"/>
      </w:tblGrid>
      <w:tr>
        <w:trPr>
          <w:tblHeader w:val="true"/>
        </w:trPr>
        <w:tc>
          <w:tcPr>
            <w:tcW w:type="dxa" w:w="1701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触发类型</w:t>
            </w:r>
          </w:p>
        </w:tc>
        <w:tc>
          <w:tcPr>
            <w:tcW w:type="dxa" w:w="1928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处理码</w:t>
            </w:r>
          </w:p>
        </w:tc>
        <w:tc>
          <w:tcPr>
            <w:tcW w:type="dxa" w:w="5443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用户可见行为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风险词命中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二次确认（code 2）</w:t>
            </w:r>
          </w:p>
        </w:tc>
        <w:tc>
          <w:tcPr>
            <w:tcW w:type="dxa" w:w="5443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弹出风险提示弹窗，用户确认后仍可继续；提示保留在需求详情页与对接报告中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D92D20"/>
                <w:sz w:val="19"/>
              </w:rPr>
              <w:t>双减红线</w:t>
            </w:r>
          </w:p>
        </w:tc>
        <w:tc>
          <w:tcPr>
            <w:tcW w:type="dxa" w:w="1928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硬拦截（code 3）</w:t>
            </w:r>
          </w:p>
        </w:tc>
        <w:tc>
          <w:tcPr>
            <w:tcW w:type="dxa" w:w="5443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弹出政策提示弹窗，不提供「继续」按钮，需求无法发布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接口异常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报错（code -1）</w:t>
            </w:r>
          </w:p>
        </w:tc>
        <w:tc>
          <w:tcPr>
            <w:tcW w:type="dxa" w:w="5443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网络或服务异常，提示稍后重试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参数问题</w:t>
            </w:r>
          </w:p>
        </w:tc>
        <w:tc>
          <w:tcPr>
            <w:tcW w:type="dxa" w:w="1928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提示（code 1）</w:t>
            </w:r>
          </w:p>
        </w:tc>
        <w:tc>
          <w:tcPr>
            <w:tcW w:type="dxa" w:w="5443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必填项缺失或格式不合规</w:t>
            </w:r>
          </w:p>
        </w:tc>
      </w:tr>
    </w:tbl>
    <w:p>
      <w:pPr>
        <w:keepNext/>
        <w:spacing w:before="320" w:after="140"/>
        <w:pBdr>
          <w:bottom w:val="single" w:sz="6" w:space="4" w:color="E6E8EF"/>
        </w:pBdr>
      </w:pPr>
      <w:r>
        <w:rPr>
          <w:rFonts w:ascii="微软雅黑" w:hAnsi="微软雅黑" w:eastAsia="微软雅黑"/>
          <w:b/>
          <w:color w:val="0A0A0C"/>
          <w:sz w:val="30"/>
        </w:rPr>
        <w:t>四、双减合规规则（二期红线）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0A0A0C"/>
          <w:sz w:val="21"/>
        </w:rPr>
        <w:t>除单一风险词匹配外，系统还对「时段 × 科目 × 学段」三个维度做组合判定，避免用词规避（例如不提「周末补课」但把时段选成周末上午）。</w:t>
      </w:r>
    </w:p>
    <w:p>
      <w:pPr>
        <w:keepNext/>
        <w:spacing w:before="220" w:after="140"/>
      </w:pPr>
      <w:r>
        <w:rPr>
          <w:rFonts w:ascii="微软雅黑" w:hAnsi="微软雅黑" w:eastAsia="微软雅黑"/>
          <w:b/>
          <w:color w:val="0A0A0C"/>
          <w:sz w:val="24"/>
        </w:rPr>
        <w:t>4.1 触发条件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1587"/>
        <w:gridCol w:w="2381"/>
        <w:gridCol w:w="1474"/>
      </w:tblGrid>
      <w:tr>
        <w:trPr>
          <w:tblHeader w:val="true"/>
        </w:trPr>
        <w:tc>
          <w:tcPr>
            <w:tcW w:type="dxa" w:w="1134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规则</w:t>
            </w:r>
          </w:p>
        </w:tc>
        <w:tc>
          <w:tcPr>
            <w:tcW w:type="dxa" w:w="2494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科目维度</w:t>
            </w:r>
          </w:p>
        </w:tc>
        <w:tc>
          <w:tcPr>
            <w:tcW w:type="dxa" w:w="1587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时段维度</w:t>
            </w:r>
          </w:p>
        </w:tc>
        <w:tc>
          <w:tcPr>
            <w:tcW w:type="dxa" w:w="2381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学段维度</w:t>
            </w:r>
          </w:p>
        </w:tc>
        <w:tc>
          <w:tcPr>
            <w:tcW w:type="dxa" w:w="1474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规则 A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学科类科目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休息日时段</w:t>
            </w:r>
          </w:p>
        </w:tc>
        <w:tc>
          <w:tcPr>
            <w:tcW w:type="dxa" w:w="2381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命中即硬拦截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D92D20"/>
                <w:sz w:val="19"/>
              </w:rPr>
              <w:t>规则 B</w:t>
            </w:r>
          </w:p>
        </w:tc>
        <w:tc>
          <w:tcPr>
            <w:tcW w:type="dxa" w:w="2494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学科类科目（含「全科」）</w:t>
            </w:r>
          </w:p>
        </w:tc>
        <w:tc>
          <w:tcPr>
            <w:tcW w:type="dxa" w:w="1587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休息日时段</w:t>
            </w:r>
          </w:p>
        </w:tc>
        <w:tc>
          <w:tcPr>
            <w:tcW w:type="dxa" w:w="2381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学龄前 / 幼小衔接 / 学前班</w:t>
            </w:r>
          </w:p>
        </w:tc>
        <w:tc>
          <w:tcPr>
            <w:tcW w:type="dxa" w:w="1474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命中即硬拦截</w:t>
            </w:r>
          </w:p>
        </w:tc>
      </w:tr>
    </w:tbl>
    <w:p>
      <w:pPr>
        <w:keepNext/>
        <w:spacing w:before="220" w:after="140"/>
      </w:pPr>
      <w:r>
        <w:rPr>
          <w:rFonts w:ascii="微软雅黑" w:hAnsi="微软雅黑" w:eastAsia="微软雅黑"/>
          <w:b/>
          <w:color w:val="0A0A0C"/>
          <w:sz w:val="24"/>
        </w:rPr>
        <w:t>4.2 判定维度枚举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2268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维度</w:t>
            </w:r>
          </w:p>
        </w:tc>
        <w:tc>
          <w:tcPr>
            <w:tcW w:type="dxa" w:w="6803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取值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学科类科目</w:t>
            </w:r>
          </w:p>
        </w:tc>
        <w:tc>
          <w:tcPr>
            <w:tcW w:type="dxa" w:w="6803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语文、数学、英语、物理、化学、生物、政治、历史、地理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素质类科目（放行）</w:t>
            </w:r>
          </w:p>
        </w:tc>
        <w:tc>
          <w:tcPr>
            <w:tcW w:type="dxa" w:w="6803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美术、音乐、体育、编程、科学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休息日时段</w:t>
            </w:r>
          </w:p>
        </w:tc>
        <w:tc>
          <w:tcPr>
            <w:tcW w:type="dxa" w:w="6803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周末上午、周末下午、周末晚上、寒暑假全天（法定节假日同属此列）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非休息日时段（放行）</w:t>
            </w:r>
          </w:p>
        </w:tc>
        <w:tc>
          <w:tcPr>
            <w:tcW w:type="dxa" w:w="6803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工作日晚上、工作日下午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学龄前年级</w:t>
            </w:r>
          </w:p>
        </w:tc>
        <w:tc>
          <w:tcPr>
            <w:tcW w:type="dxa" w:w="6803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小班、中班、大班、幼小衔接、学前班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文本兜底关键词</w:t>
            </w:r>
          </w:p>
        </w:tc>
        <w:tc>
          <w:tcPr>
            <w:tcW w:type="dxa" w:w="6803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周末、周六、周日、双休、节假日、法定节假日、寒暑假、寒假、暑假、假期、小长假</w:t>
            </w:r>
          </w:p>
        </w:tc>
      </w:tr>
    </w:tbl>
    <w:p>
      <w:pPr>
        <w:keepNext/>
        <w:spacing w:before="220" w:after="140"/>
      </w:pPr>
      <w:r>
        <w:rPr>
          <w:rFonts w:ascii="微软雅黑" w:hAnsi="微软雅黑" w:eastAsia="微软雅黑"/>
          <w:b/>
          <w:color w:val="0A0A0C"/>
          <w:sz w:val="24"/>
        </w:rPr>
        <w:t>4.3 拦截文案（用户实际看到的）</w:t>
      </w:r>
    </w:p>
    <w:p>
      <w:pPr>
        <w:spacing w:after="120"/>
      </w:pPr>
      <w:r>
        <w:rPr>
          <w:rFonts w:ascii="微软雅黑" w:hAnsi="微软雅黑" w:eastAsia="微软雅黑"/>
          <w:b/>
          <w:color w:val="D92D20"/>
          <w:sz w:val="22"/>
        </w:rPr>
        <w:t>⚠️ 触发双减政策红线</w:t>
      </w:r>
    </w:p>
    <w:p>
      <w:pPr>
        <w:spacing w:after="120"/>
      </w:pPr>
      <w:r>
        <w:rPr>
          <w:rFonts w:ascii="微软雅黑" w:hAnsi="微软雅黑" w:eastAsia="微软雅黑"/>
          <w:b/>
          <w:color w:val="0A0A0C"/>
          <w:sz w:val="21"/>
        </w:rPr>
        <w:t>根据双减政策，严禁在休息日及节假日开展学科类培训，请勿发布违规需求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5C5F6B"/>
          <w:sz w:val="20"/>
        </w:rPr>
        <w:t>附带说明（弹窗内逐条展示）：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学科类（语文、数学、英语、物理、化学、生物等）不得在周末、法定节假日、寒暑假开展培训。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学龄前儿童（含幼小衔接、学前班）不得开展学科类培训。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如需在休息日安排，可改为素质拓展类（美术、音乐、体育、编程、科学等），或改到工作日晚上。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本平台仅为个人零星家教信息撮合，不提供固定办学场所，也不组织任何形式的学科类培训。</w:t>
      </w:r>
    </w:p>
    <w:p>
      <w:pPr>
        <w:keepNext/>
        <w:spacing w:before="320" w:after="140"/>
        <w:pBdr>
          <w:bottom w:val="single" w:sz="6" w:space="4" w:color="E6E8EF"/>
        </w:pBdr>
      </w:pPr>
      <w:r>
        <w:rPr>
          <w:rFonts w:ascii="微软雅黑" w:hAnsi="微软雅黑" w:eastAsia="微软雅黑"/>
          <w:b/>
          <w:color w:val="0A0A0C"/>
          <w:sz w:val="30"/>
        </w:rPr>
        <w:t>五、平台性质声明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5C5F6B"/>
          <w:sz w:val="20"/>
        </w:rPr>
        <w:t>以下声明在全部页面展示，并写入每一份对接报告的结尾：</w:t>
      </w:r>
    </w:p>
    <w:p>
      <w:pPr>
        <w:spacing w:after="120"/>
        <w:ind w:left="340"/>
      </w:pPr>
      <w:r>
        <w:rPr>
          <w:rFonts w:ascii="微软雅黑" w:hAnsi="微软雅黑" w:eastAsia="微软雅黑"/>
          <w:b/>
          <w:color w:val="0A0A0C"/>
          <w:sz w:val="21"/>
        </w:rPr>
        <w:t>「本平台仅为个人零星家教信息撮合，非培训机构，不提供固定办学场所」</w:t>
      </w:r>
    </w:p>
    <w:p>
      <w:pPr>
        <w:keepNext/>
        <w:spacing w:before="320" w:after="140"/>
        <w:pBdr>
          <w:bottom w:val="single" w:sz="6" w:space="4" w:color="E6E8EF"/>
        </w:pBdr>
      </w:pPr>
      <w:r>
        <w:rPr>
          <w:rFonts w:ascii="微软雅黑" w:hAnsi="微软雅黑" w:eastAsia="微软雅黑"/>
          <w:b/>
          <w:color w:val="0A0A0C"/>
          <w:sz w:val="30"/>
        </w:rPr>
        <w:t>六、通用安全提示文案（无论是否命中风险词均展示）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首次沟通建议在平台内完成，不要添加来路不明的私人联系方式。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任何要求先交押金、保证金、服装费、体检费的订单都不要答应。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对方索要身份证、学生证原件或照片时请直接拒绝并举报。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涉及“培训贷 / 分期付款 / 先培训后上岗”的一律终止对接。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未成年人线下上课需监护人全程知情，建议优先线上或校内认证场地。</w:t>
      </w:r>
    </w:p>
    <w:p>
      <w:pPr>
        <w:keepNext/>
        <w:spacing w:before="320" w:after="140"/>
        <w:pBdr>
          <w:bottom w:val="single" w:sz="6" w:space="4" w:color="E6E8EF"/>
        </w:pBdr>
      </w:pPr>
      <w:r>
        <w:rPr>
          <w:rFonts w:ascii="微软雅黑" w:hAnsi="微软雅黑" w:eastAsia="微软雅黑"/>
          <w:b/>
          <w:color w:val="0A0A0C"/>
          <w:sz w:val="30"/>
        </w:rPr>
        <w:t>七、数据一致性核查（重要）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0A0A0C"/>
          <w:sz w:val="20"/>
        </w:rPr>
        <w:t>词库在工程中有 6 处副本。本次核查发现：数据库种子比代码多出 5 条，这 5 条当前不会生效——因为匹配依据是代码里的词数组，数据库表仅作为内容管理用途，尚未接入运行时。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134"/>
        <w:gridCol w:w="1361"/>
        <w:gridCol w:w="2608"/>
      </w:tblGrid>
      <w:tr>
        <w:trPr>
          <w:tblHeader w:val="true"/>
        </w:trPr>
        <w:tc>
          <w:tcPr>
            <w:tcW w:type="dxa" w:w="3969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文件位置</w:t>
            </w:r>
          </w:p>
        </w:tc>
        <w:tc>
          <w:tcPr>
            <w:tcW w:type="dxa" w:w="1134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条数</w:t>
            </w:r>
          </w:p>
        </w:tc>
        <w:tc>
          <w:tcPr>
            <w:tcW w:type="dxa" w:w="1361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状态</w:t>
            </w:r>
          </w:p>
        </w:tc>
        <w:tc>
          <w:tcPr>
            <w:tcW w:type="dxa" w:w="2608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cloudfunctions/common/riskWords.js</w:t>
            </w:r>
          </w:p>
        </w:tc>
        <w:tc>
          <w:tcPr>
            <w:tcW w:type="dxa" w:w="1134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21 条</w:t>
            </w:r>
          </w:p>
        </w:tc>
        <w:tc>
          <w:tcPr>
            <w:tcW w:type="dxa" w:w="1361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生效</w:t>
            </w:r>
          </w:p>
        </w:tc>
        <w:tc>
          <w:tcPr>
            <w:tcW w:type="dxa" w:w="260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权威源，改词库改这里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cloudfunctions/riskCheck/riskWords.js</w:t>
            </w:r>
          </w:p>
        </w:tc>
        <w:tc>
          <w:tcPr>
            <w:tcW w:type="dxa" w:w="1134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21 条</w:t>
            </w:r>
          </w:p>
        </w:tc>
        <w:tc>
          <w:tcPr>
            <w:tcW w:type="dxa" w:w="1361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生效</w:t>
            </w:r>
          </w:p>
        </w:tc>
        <w:tc>
          <w:tcPr>
            <w:tcW w:type="dxa" w:w="2608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云函数独立打包所需副本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cloudfunctions/submitDemand/riskWords.js</w:t>
            </w:r>
          </w:p>
        </w:tc>
        <w:tc>
          <w:tcPr>
            <w:tcW w:type="dxa" w:w="1134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21 条</w:t>
            </w:r>
          </w:p>
        </w:tc>
        <w:tc>
          <w:tcPr>
            <w:tcW w:type="dxa" w:w="1361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生效</w:t>
            </w:r>
          </w:p>
        </w:tc>
        <w:tc>
          <w:tcPr>
            <w:tcW w:type="dxa" w:w="260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云函数独立打包所需副本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miniprogram/utils/constants.js</w:t>
            </w:r>
          </w:p>
        </w:tc>
        <w:tc>
          <w:tcPr>
            <w:tcW w:type="dxa" w:w="1134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15 条</w:t>
            </w:r>
          </w:p>
        </w:tc>
        <w:tc>
          <w:tcPr>
            <w:tcW w:type="dxa" w:w="1361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生效</w:t>
            </w:r>
          </w:p>
        </w:tc>
        <w:tc>
          <w:tcPr>
            <w:tcW w:type="dxa" w:w="2608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小程序前端提示文案与等级配色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miniprogram/services/risk.js</w:t>
            </w:r>
          </w:p>
        </w:tc>
        <w:tc>
          <w:tcPr>
            <w:tcW w:type="dxa" w:w="1134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15 条 + 规则</w:t>
            </w:r>
          </w:p>
        </w:tc>
        <w:tc>
          <w:tcPr>
            <w:tcW w:type="dxa" w:w="1361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生效</w:t>
            </w:r>
          </w:p>
        </w:tc>
        <w:tc>
          <w:tcPr>
            <w:tcW w:type="dxa" w:w="260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前端预检，与云函数规则对齐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database/risk_words.json</w:t>
            </w:r>
          </w:p>
        </w:tc>
        <w:tc>
          <w:tcPr>
            <w:tcW w:type="dxa" w:w="1134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26 条</w:t>
            </w:r>
          </w:p>
        </w:tc>
        <w:tc>
          <w:tcPr>
            <w:tcW w:type="dxa" w:w="1361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B26A00"/>
                <w:sz w:val="19"/>
              </w:rPr>
              <w:t>部分生效</w:t>
            </w:r>
          </w:p>
        </w:tc>
        <w:tc>
          <w:tcPr>
            <w:tcW w:type="dxa" w:w="2608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多出 5 条，未接入运行时</w:t>
            </w:r>
          </w:p>
        </w:tc>
      </w:tr>
    </w:tbl>
    <w:p>
      <w:pPr>
        <w:spacing w:after="80" w:before="0"/>
      </w:pPr>
    </w:p>
    <w:p>
      <w:pPr>
        <w:spacing w:after="80" w:before="120"/>
      </w:pPr>
      <w:r>
        <w:rPr>
          <w:rFonts w:ascii="微软雅黑" w:hAnsi="微软雅黑" w:eastAsia="微软雅黑"/>
          <w:b w:val="0"/>
          <w:color w:val="5C5F6B"/>
          <w:sz w:val="20"/>
        </w:rPr>
        <w:t>多出的 5 条（建议二选一：补进代码词库使其生效，或从种子数据中删除以免误导）：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928"/>
        <w:gridCol w:w="5329"/>
      </w:tblGrid>
      <w:tr>
        <w:trPr>
          <w:tblHeader w:val="true"/>
        </w:trPr>
        <w:tc>
          <w:tcPr>
            <w:tcW w:type="dxa" w:w="1814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风险词</w:t>
            </w:r>
          </w:p>
        </w:tc>
        <w:tc>
          <w:tcPr>
            <w:tcW w:type="dxa" w:w="1928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分类</w:t>
            </w:r>
          </w:p>
        </w:tc>
        <w:tc>
          <w:tcPr>
            <w:tcW w:type="dxa" w:w="5329"/>
            <w:shd w:val="clear" w:color="auto" w:fill="F2F4F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已写入的提示文案（当前不生效）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免费培训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收费陷阱</w:t>
            </w:r>
          </w:p>
        </w:tc>
        <w:tc>
          <w:tcPr>
            <w:tcW w:type="dxa" w:w="532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“免费培训”常作为引流话术，后续往往转为收费或分期贷款，请先核实再参与。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先上岗后付费</w:t>
            </w:r>
          </w:p>
        </w:tc>
        <w:tc>
          <w:tcPr>
            <w:tcW w:type="dxa" w:w="1928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收费陷阱</w:t>
            </w:r>
          </w:p>
        </w:tc>
        <w:tc>
          <w:tcPr>
            <w:tcW w:type="dxa" w:w="532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“先上岗后付费”多与培训贷绑定，一旦签署分期协议很难退出，请直接拒绝。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包就业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虚假宣传</w:t>
            </w:r>
          </w:p>
        </w:tc>
        <w:tc>
          <w:tcPr>
            <w:tcW w:type="dxa" w:w="532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家教兼职不存在“包就业”承诺，此类宣传多为招募套路。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代考</w:t>
            </w:r>
          </w:p>
        </w:tc>
        <w:tc>
          <w:tcPr>
            <w:tcW w:type="dxa" w:w="1928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违法违规</w:t>
            </w:r>
          </w:p>
        </w:tc>
        <w:tc>
          <w:tcPr>
            <w:tcW w:type="dxa" w:w="5329"/>
            <w:shd w:val="clear" w:color="auto" w:fill="FAFAFC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代考属于违法行为，参与双方均需承担责任，请立即举报。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/>
                <w:color w:val="0A0A0C"/>
                <w:sz w:val="19"/>
              </w:rPr>
              <w:t>刷课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违法违规</w:t>
            </w:r>
          </w:p>
        </w:tc>
        <w:tc>
          <w:tcPr>
            <w:tcW w:type="dxa" w:w="5329"/>
          </w:tcPr>
          <w:p>
            <w:pPr>
              <w:spacing w:after="40" w:before="4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0A0A0C"/>
                <w:sz w:val="19"/>
              </w:rPr>
              <w:t>“刷课”“代刷网课”违反学校规定并可能涉及违法，请勿参与。</w:t>
            </w:r>
          </w:p>
        </w:tc>
      </w:tr>
    </w:tbl>
    <w:p>
      <w:pPr>
        <w:keepNext/>
        <w:spacing w:before="320" w:after="140"/>
        <w:pBdr>
          <w:bottom w:val="single" w:sz="6" w:space="4" w:color="E6E8EF"/>
        </w:pBdr>
      </w:pPr>
      <w:r>
        <w:rPr>
          <w:rFonts w:ascii="微软雅黑" w:hAnsi="微软雅黑" w:eastAsia="微软雅黑"/>
          <w:b/>
          <w:color w:val="0A0A0C"/>
          <w:sz w:val="30"/>
        </w:rPr>
        <w:t>八、维护须知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0A0A0C"/>
          <w:sz w:val="20"/>
        </w:rPr>
        <w:t>修改风险词或双减规则时，必须同步以下 6 处，否则会出现「云端拦截、前端不提示」或「前端提示、云端放行」的不一致：</w:t>
      </w:r>
    </w:p>
    <w:p>
      <w:pPr>
        <w:spacing w:after="40"/>
        <w:ind w:left="567" w:hanging="283"/>
      </w:pPr>
      <w:r>
        <w:rPr>
          <w:rFonts w:ascii="微软雅黑" w:hAnsi="微软雅黑" w:eastAsia="微软雅黑"/>
          <w:sz w:val="20"/>
        </w:rPr>
        <w:t>1. cloudfunctions/common/riskWords.js（权威源）</w:t>
      </w:r>
    </w:p>
    <w:p>
      <w:pPr>
        <w:spacing w:after="40"/>
        <w:ind w:left="567" w:hanging="283"/>
      </w:pPr>
      <w:r>
        <w:rPr>
          <w:rFonts w:ascii="微软雅黑" w:hAnsi="微软雅黑" w:eastAsia="微软雅黑"/>
          <w:sz w:val="20"/>
        </w:rPr>
        <w:t>2. cloudfunctions/riskCheck/riskWords.js</w:t>
      </w:r>
    </w:p>
    <w:p>
      <w:pPr>
        <w:spacing w:after="40"/>
        <w:ind w:left="567" w:hanging="283"/>
      </w:pPr>
      <w:r>
        <w:rPr>
          <w:rFonts w:ascii="微软雅黑" w:hAnsi="微软雅黑" w:eastAsia="微软雅黑"/>
          <w:sz w:val="20"/>
        </w:rPr>
        <w:t>3. cloudfunctions/submitDemand/riskWords.js</w:t>
      </w:r>
    </w:p>
    <w:p>
      <w:pPr>
        <w:spacing w:after="40"/>
        <w:ind w:left="567" w:hanging="283"/>
      </w:pPr>
      <w:r>
        <w:rPr>
          <w:rFonts w:ascii="微软雅黑" w:hAnsi="微软雅黑" w:eastAsia="微软雅黑"/>
          <w:sz w:val="20"/>
        </w:rPr>
        <w:t>4. miniprogram/utils/constants.js</w:t>
      </w:r>
    </w:p>
    <w:p>
      <w:pPr>
        <w:spacing w:after="40"/>
        <w:ind w:left="567" w:hanging="283"/>
      </w:pPr>
      <w:r>
        <w:rPr>
          <w:rFonts w:ascii="微软雅黑" w:hAnsi="微软雅黑" w:eastAsia="微软雅黑"/>
          <w:sz w:val="20"/>
        </w:rPr>
        <w:t>5. miniprogram/services/risk.js</w:t>
      </w:r>
    </w:p>
    <w:p>
      <w:pPr>
        <w:spacing w:after="40"/>
        <w:ind w:left="567" w:hanging="283"/>
      </w:pPr>
      <w:r>
        <w:rPr>
          <w:rFonts w:ascii="微软雅黑" w:hAnsi="微软雅黑" w:eastAsia="微软雅黑"/>
          <w:sz w:val="20"/>
        </w:rPr>
        <w:t>6. database/risk_words.json</w:t>
      </w:r>
    </w:p>
    <w:p>
      <w:pPr>
        <w:spacing w:after="80" w:before="0"/>
      </w:pPr>
    </w:p>
    <w:p>
      <w:pPr>
        <w:spacing w:after="80" w:before="0"/>
      </w:pPr>
      <w:r>
        <w:rPr>
          <w:rFonts w:ascii="微软雅黑" w:hAnsi="微软雅黑" w:eastAsia="微软雅黑"/>
          <w:b w:val="0"/>
          <w:color w:val="5C5F6B"/>
          <w:sz w:val="20"/>
        </w:rPr>
        <w:t>改完请执行以下自检，确保规则仍然对齐：</w:t>
      </w:r>
    </w:p>
    <w:p>
      <w:pPr>
        <w:spacing w:after="40"/>
        <w:ind w:left="340"/>
      </w:pPr>
      <w:r>
        <w:rPr>
          <w:rFonts w:ascii="Consolas" w:hAnsi="Consolas" w:eastAsia="Consolas"/>
          <w:color w:val="6D4AFF"/>
          <w:sz w:val="19"/>
        </w:rPr>
        <w:t>node tools/validate-project.js</w:t>
      </w:r>
    </w:p>
    <w:p>
      <w:pPr>
        <w:spacing w:after="40"/>
        <w:ind w:left="340"/>
      </w:pPr>
      <w:r>
        <w:rPr>
          <w:rFonts w:ascii="Consolas" w:hAnsi="Consolas" w:eastAsia="Consolas"/>
          <w:color w:val="6D4AFF"/>
          <w:sz w:val="19"/>
        </w:rPr>
        <w:t>node tools/verify-flows.js</w:t>
      </w:r>
    </w:p>
    <w:p>
      <w:pPr>
        <w:spacing w:after="40"/>
        <w:ind w:left="340"/>
      </w:pPr>
      <w:r>
        <w:rPr>
          <w:rFonts w:ascii="Consolas" w:hAnsi="Consolas" w:eastAsia="Consolas"/>
          <w:color w:val="6D4AFF"/>
          <w:sz w:val="19"/>
        </w:rPr>
        <w:t>node tools/compare-risk-words.js</w:t>
      </w:r>
    </w:p>
    <w:p>
      <w:pPr>
        <w:spacing w:after="80" w:before="0"/>
      </w:pPr>
    </w:p>
    <w:p>
      <w:pPr>
        <w:spacing w:after="80" w:before="200"/>
      </w:pPr>
      <w:r>
        <w:rPr>
          <w:rFonts w:ascii="微软雅黑" w:hAnsi="微软雅黑" w:eastAsia="微软雅黑"/>
          <w:b w:val="0"/>
          <w:color w:val="5C5F6B"/>
          <w:sz w:val="18"/>
        </w:rPr>
        <w:t>本文档由 tools/make-risk-doc.py 依据代码自动生成，词库有变更时请重新生成，不要手工编辑本文档。</w:t>
      </w:r>
    </w:p>
    <w:sectPr w:rsidR="00FC693F" w:rsidRPr="0006063C" w:rsidSect="00034616"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微软雅黑" w:hAnsi="微软雅黑" w:eastAsia="微软雅黑"/>
      <w:color w:val="0A0A0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