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企业绿色评级系统 · 架构说明</w:t>
      </w:r>
    </w:p>
    <w:p>
      <w:pPr>
        <w:ind w:left="360"/>
      </w:pPr>
      <w:r>
        <w:rPr>
          <w:rFonts w:eastAsia="微软雅黑"/>
          <w:i/>
          <w:color w:val="555555"/>
        </w:rPr>
        <w:t>本文档基于对工作空间 `开发代码/Code` 目录下全部源码的静态分析编写，描述系统的技术形态、模块组成、数据流与运维方式。</w:t>
      </w:r>
    </w:p>
    <w:p>
      <w:pPr>
        <w:pStyle w:val="Heading2"/>
      </w:pPr>
      <w:r>
        <w:t>1. 项目概述</w:t>
      </w:r>
    </w:p>
    <w:p>
      <w:r>
        <w:t>企业绿色评级系统是一个</w:t>
      </w:r>
      <w:r>
        <w:rPr>
          <w:b/>
        </w:rPr>
        <w:t>面向公众的官网 + 证书查询 + 绿色金融产品超市</w:t>
      </w:r>
      <w:r>
        <w:t>站点，定位为"企业绿色资信评估"的门户入口。系统本身</w:t>
      </w:r>
      <w:r>
        <w:rPr>
          <w:b/>
        </w:rPr>
        <w:t>不包含业务后端</w:t>
      </w:r>
      <w:r>
        <w:t>，而是以「静态托管的 React 单页应用（SPA）」形态部署，业务数据（评级结果、金融产品）全部实时拉取自已有的企业后台系统（Carbon-Grading 平台）对外开放的 HTTP 接口。</w:t>
      </w:r>
    </w:p>
    <w:p>
      <w:r>
        <w:rPr>
          <w:b/>
        </w:rPr>
        <w:t>核心特征：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eastAsia="微软雅黑"/>
                <w:b/>
                <w:sz w:val="18"/>
              </w:rPr>
            </w:r>
            <w:r>
              <w:rPr>
                <w:rFonts w:eastAsia="微软雅黑"/>
                <w:b/>
                <w:sz w:val="18"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  <w:b/>
                <w:sz w:val="18"/>
              </w:rPr>
            </w:r>
            <w:r>
              <w:rPr>
                <w:rFonts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技术形态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构建产物直部署的 React SPA（无本地构建流程，</w:t>
            </w:r>
            <w:r>
              <w:rPr>
                <w:rFonts w:ascii="Consolas" w:hAnsi="Consolas" w:eastAsia="微软雅黑"/>
                <w:sz w:val="18"/>
              </w:rPr>
              <w:t>package.json</w:t>
            </w:r>
            <w:r>
              <w:rPr>
                <w:rFonts w:eastAsia="微软雅黑"/>
                <w:sz w:val="18"/>
              </w:rPr>
              <w:t xml:space="preserve"> 为空壳）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前端框架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React（</w:t>
            </w:r>
            <w:r>
              <w:rPr>
                <w:rFonts w:ascii="Consolas" w:hAnsi="Consolas" w:eastAsia="微软雅黑"/>
                <w:sz w:val="18"/>
              </w:rPr>
              <w:t>ReactDOM</w:t>
            </w:r>
            <w:r>
              <w:rPr>
                <w:rFonts w:eastAsia="微软雅黑"/>
                <w:sz w:val="18"/>
              </w:rPr>
              <w:t xml:space="preserve"> 渲染）+ React Router（data router，</w:t>
            </w:r>
            <w:r>
              <w:rPr>
                <w:rFonts w:ascii="Consolas" w:hAnsi="Consolas" w:eastAsia="微软雅黑"/>
                <w:sz w:val="18"/>
              </w:rPr>
              <w:t>window.__reactRouterVersion</w:t>
            </w:r>
            <w:r>
              <w:rPr>
                <w:rFonts w:eastAsia="微软雅黑"/>
                <w:sz w:val="18"/>
              </w:rPr>
              <w:t>）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样式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Tailwind CSS v4（</w:t>
            </w:r>
            <w:r>
              <w:rPr>
                <w:rFonts w:ascii="Consolas" w:hAnsi="Consolas" w:eastAsia="微软雅黑"/>
                <w:sz w:val="18"/>
              </w:rPr>
              <w:t>assets/index.css</w:t>
            </w:r>
            <w:r>
              <w:rPr>
                <w:rFonts w:eastAsia="微软雅黑"/>
                <w:sz w:val="18"/>
              </w:rPr>
              <w:t xml:space="preserve"> 为编译产物，含 Tailwind v4.1.12 标记）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数据来源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 xml:space="preserve">外部企业后台的 </w:t>
            </w:r>
            <w:r>
              <w:rPr>
                <w:rFonts w:ascii="Consolas" w:hAnsi="Consolas" w:eastAsia="微软雅黑"/>
                <w:sz w:val="18"/>
              </w:rPr>
              <w:t>DataServices/OfficialWebsiteAPI/*</w:t>
            </w:r>
            <w:r>
              <w:rPr>
                <w:rFonts w:eastAsia="微软雅黑"/>
                <w:sz w:val="18"/>
              </w:rPr>
              <w:t xml:space="preserve"> 系列接口（跨域直连，未代理）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托管方式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 xml:space="preserve">轻量静态服务器（Node </w:t>
            </w:r>
            <w:r>
              <w:rPr>
                <w:rFonts w:ascii="Consolas" w:hAnsi="Consolas" w:eastAsia="微软雅黑"/>
                <w:sz w:val="18"/>
              </w:rPr>
              <w:t>server.js</w:t>
            </w:r>
            <w:r>
              <w:rPr>
                <w:rFonts w:eastAsia="微软雅黑"/>
                <w:sz w:val="18"/>
              </w:rPr>
              <w:t xml:space="preserve"> 或 Python </w:t>
            </w:r>
            <w:r>
              <w:rPr>
                <w:rFonts w:ascii="Consolas" w:hAnsi="Consolas" w:eastAsia="微软雅黑"/>
                <w:sz w:val="18"/>
              </w:rPr>
              <w:t>server.py</w:t>
            </w:r>
            <w:r>
              <w:rPr>
                <w:rFonts w:eastAsia="微软雅黑"/>
                <w:sz w:val="18"/>
              </w:rPr>
              <w:t>），SPA fallback 路由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运维方式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配置文件脚本化 + 三层自动化回归测试（语法门禁 / 路由检查 / Playwright E2E）</w:t>
            </w:r>
          </w:p>
        </w:tc>
      </w:tr>
    </w:tbl>
    <w:p>
      <w:pPr>
        <w:spacing w:after="40"/>
      </w:pPr>
    </w:p>
    <w:p>
      <w:pPr>
        <w:pStyle w:val="Heading2"/>
      </w:pPr>
      <w:r>
        <w:t>2. 总体架构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│                      访问入口（浏览器）                        │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└───────────────────────────────┬──────────────────────────────┘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                            │ HTTP(S)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┌───────────────────────────────▼──────────────────────────────┐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│                     托管层：静态文件服务器                      │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│   server.js (Node, 默认 8080) / server.py (Python 备选)       │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│   · 静态资源直出：/assets/index.js、/assets/index.css         │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│   · SPA fallback：未匹配路径一律回退 index.html（防 404）       │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│   · 目录路由：访问目录自动补 /index.html                       │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└───────────────────────────────┬──────────────────────────────┘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                            │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    ┌───────────────────────┼───────────────────────┐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    ▼                       ▼                       ▼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┌───────────────┐   ┌───────────────────┐   ┌───────────────────────┐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│ 官网 SPA 页面  │   │ 独立静态页         │   │ 配置层                │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│ index.html    │   │ join-us/index.html│   │ assets/config.js      │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│ → React 渲染   │   │ 合作伙伴申请表单    │   │ window.__entUrl__     │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│ → 证书查询      │   │ → CooperationApp- │   │ （企业后台基域名）      │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│ → 金融产品超市   │   │   lication 接口   │   │ 由 setup-config.sh 生成│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└───────┬───────┘   └───────────────────┘   └───────────────────────┘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    │ 前端直连（跨域，浏览器 CORS 直调）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    ▼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│               数据接口层：企业后台 Carbon-Grading             │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│   POST {__entUrl__}/DataServices/OfficialWebsiteAPI/         │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│   ├─ CertificateLookup         证书查询（XHR + FormData）     │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│   ├─ FinancialProductLookup    金融产品查询/首页推荐           │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│   ├─ FinancialProductTypeList  产品类型下拉                   │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│   └─ CooperationApplication    合作伙伴申请（join-us 页）      │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└──────────────────────────────────────────────────────────────┘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│               测试与运维层（不参与运行时）                     │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│   run_tests.sh        一键回归（三层门禁）                     │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│   tests/e2e_test.py   Playwright E2E（TC01~TC07）            │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│   tests/test_plan.md  测试方案文档                            │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└──────────────────────────────────────────────────────────────┘</w:t>
      </w:r>
    </w:p>
    <w:p>
      <w:pPr>
        <w:spacing w:after="40"/>
      </w:pPr>
    </w:p>
    <w:p>
      <w:r>
        <w:rPr>
          <w:b/>
        </w:rPr>
        <w:t>关键设计点：</w:t>
      </w:r>
      <w:r>
        <w:t xml:space="preserve"> 站点只做"展示 + 转发"，所有业务数据在浏览器端实时请求后台接口；前台与后台之间</w:t>
      </w:r>
      <w:r>
        <w:rPr>
          <w:b/>
        </w:rPr>
        <w:t>没有中间业务服务</w:t>
      </w:r>
      <w:r>
        <w:t>，属于典型的"静态前端 + 平台 API"轻架构。</w:t>
      </w:r>
    </w:p>
    <w:p>
      <w:pPr>
        <w:pStyle w:val="Heading2"/>
      </w:pPr>
      <w:r>
        <w:t>3. 目录结构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Code/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├── index.html              官网 SPA 入口（挂载 #root，加载 config.js + 压缩 JS/CSS）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├── join-us/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│   └── index.html          「加入我们」独立静态页（Tailwind CDN + 原生 fetch 提交）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├── assets/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│   ├── config.js           可配置项：window.__entUrl__（企业后台基域名）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│   ├── index.js            React 压缩构建产物（~560KB，单文件，含全部页面与逻辑）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│   ├── index.css           Tailwind CSS 编译产物（~130KB）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│   ├── index.js.bak        index.js 历史备份（供回滚）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│   ├── index.js.slider_bak 滑块优化前备份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│   └── index.js.orig       最初构建产物的 index.html 备份（含哈希文件名引用）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├── server.js               Node 静态服务器（SPA fallback，生产/预览主用）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├── server.py               Python 静态服务器（SPA fallback，备选）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├── setup-config.sh         交互式配置脚本（写入 config.js）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├── run_tests.sh            一键回归测试脚本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├── package.json / package-lock.json   空壳（仅记录项目名，无依赖）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└── tests/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├── e2e_test.py         Playwright 端到端测试（TC01~TC07）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└── test_plan.md        测试方案与历史踩坑记录</w:t>
      </w:r>
    </w:p>
    <w:p>
      <w:pPr>
        <w:spacing w:after="40"/>
      </w:pPr>
    </w:p>
    <w:p>
      <w:pPr>
        <w:ind w:left="360"/>
      </w:pPr>
      <w:r>
        <w:rPr>
          <w:rFonts w:eastAsia="微软雅黑"/>
          <w:i/>
          <w:color w:val="555555"/>
        </w:rPr>
        <w:t>注：`package.json` 无任何依赖、目录内无源码/构建配置，说明**本目录是构建产物部署目录**，前端源码工程（Vite + React + Tailwind 源码）不在本工作空间内。对前端的功能改动采用"直接修改压缩产物 + 语法校验"的方式完成（见 §6 动态加载模式与 §8 测试体系）。</w:t>
      </w:r>
    </w:p>
    <w:p>
      <w:pPr>
        <w:pStyle w:val="Heading2"/>
      </w:pPr>
      <w:r>
        <w:t>4. 前端架构（SPA）</w:t>
      </w:r>
    </w:p>
    <w:p>
      <w:pPr>
        <w:pStyle w:val="Heading3"/>
      </w:pPr>
      <w:r>
        <w:t>4.1 技术栈</w:t>
      </w:r>
    </w:p>
    <w:p>
      <w:pPr>
        <w:pStyle w:val="ListBullet"/>
        <w:ind w:left="360"/>
      </w:pPr>
      <w:r>
        <w:rPr>
          <w:b/>
        </w:rPr>
        <w:t>渲染</w:t>
      </w:r>
      <w:r>
        <w:t>：React（</w:t>
      </w:r>
      <w:r>
        <w:rPr>
          <w:rFonts w:ascii="Consolas" w:hAnsi="Consolas" w:eastAsia="微软雅黑"/>
          <w:sz w:val="19"/>
        </w:rPr>
        <w:t>ReactDOM.createRoot</w:t>
      </w:r>
      <w:r>
        <w:t xml:space="preserve"> 挂载 </w:t>
      </w:r>
      <w:r>
        <w:rPr>
          <w:rFonts w:ascii="Consolas" w:hAnsi="Consolas" w:eastAsia="微软雅黑"/>
          <w:sz w:val="19"/>
        </w:rPr>
        <w:t>#root</w:t>
      </w:r>
      <w:r>
        <w:t>）</w:t>
      </w:r>
    </w:p>
    <w:p>
      <w:pPr>
        <w:pStyle w:val="ListBullet"/>
        <w:ind w:left="360"/>
      </w:pPr>
      <w:r>
        <w:rPr>
          <w:b/>
        </w:rPr>
        <w:t>路由</w:t>
      </w:r>
      <w:r>
        <w:t xml:space="preserve">：React Router（data router 形态，运行时暴露 </w:t>
      </w:r>
      <w:r>
        <w:rPr>
          <w:rFonts w:ascii="Consolas" w:hAnsi="Consolas" w:eastAsia="微软雅黑"/>
          <w:sz w:val="19"/>
        </w:rPr>
        <w:t>window.__reactRouterDataRouter</w:t>
      </w:r>
      <w:r>
        <w:t xml:space="preserve"> 等全局标记）</w:t>
      </w:r>
    </w:p>
    <w:p>
      <w:pPr>
        <w:pStyle w:val="ListBullet"/>
        <w:ind w:left="360"/>
      </w:pPr>
      <w:r>
        <w:rPr>
          <w:b/>
        </w:rPr>
        <w:t>样式</w:t>
      </w:r>
      <w:r>
        <w:t>：Tailwind CSS v4（原子类内联在 JSX 产物中；</w:t>
      </w:r>
      <w:r>
        <w:rPr>
          <w:rFonts w:ascii="Consolas" w:hAnsi="Consolas" w:eastAsia="微软雅黑"/>
          <w:sz w:val="19"/>
        </w:rPr>
        <w:t>index.css</w:t>
      </w:r>
      <w:r>
        <w:t xml:space="preserve"> 为编译后全量样式）</w:t>
      </w:r>
    </w:p>
    <w:p>
      <w:pPr>
        <w:pStyle w:val="ListBullet"/>
        <w:ind w:left="360"/>
      </w:pPr>
      <w:r>
        <w:rPr>
          <w:b/>
        </w:rPr>
        <w:t>形态</w:t>
      </w:r>
      <w:r>
        <w:t>：单文件压缩 JS（</w:t>
      </w:r>
      <w:r>
        <w:rPr>
          <w:rFonts w:ascii="Consolas" w:hAnsi="Consolas" w:eastAsia="微软雅黑"/>
          <w:sz w:val="19"/>
        </w:rPr>
        <w:t>index.js</w:t>
      </w:r>
      <w:r>
        <w:t xml:space="preserve">，函数名已被压缩混淆，如 </w:t>
      </w:r>
      <w:r>
        <w:rPr>
          <w:rFonts w:ascii="Consolas" w:hAnsi="Consolas" w:eastAsia="微软雅黑"/>
          <w:sz w:val="19"/>
        </w:rPr>
        <w:t>Jw</w:t>
      </w:r>
      <w:r>
        <w:t>、</w:t>
      </w:r>
      <w:r>
        <w:rPr>
          <w:rFonts w:ascii="Consolas" w:hAnsi="Consolas" w:eastAsia="微软雅黑"/>
          <w:sz w:val="19"/>
        </w:rPr>
        <w:t>aA</w:t>
      </w:r>
      <w:r>
        <w:t xml:space="preserve"> 等）</w:t>
      </w:r>
    </w:p>
    <w:p>
      <w:pPr>
        <w:pStyle w:val="Heading3"/>
      </w:pPr>
      <w:r>
        <w:t>4.2 页面与导航</w:t>
      </w:r>
    </w:p>
    <w:p>
      <w:r>
        <w:t>导航菜单项（压缩产物中可检索到）：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eastAsia="微软雅黑"/>
                <w:b/>
                <w:sz w:val="18"/>
              </w:rPr>
            </w:r>
            <w:r>
              <w:rPr>
                <w:rFonts w:eastAsia="微软雅黑"/>
                <w:b/>
                <w:sz w:val="18"/>
              </w:rPr>
              <w:t>菜单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  <w:b/>
                <w:sz w:val="18"/>
              </w:rPr>
            </w:r>
            <w:r>
              <w:rPr>
                <w:rFonts w:eastAsia="微软雅黑"/>
                <w:b/>
                <w:sz w:val="18"/>
              </w:rPr>
              <w:t>行为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首页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SPA 内路由（含金融产品区块，接口动态加载）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证书查询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 xml:space="preserve">SPA 内路由 </w:t>
            </w:r>
            <w:r>
              <w:rPr>
                <w:rFonts w:ascii="Consolas" w:hAnsi="Consolas" w:eastAsia="微软雅黑"/>
                <w:sz w:val="18"/>
              </w:rPr>
              <w:t>/certificate-query</w:t>
            </w:r>
            <w:r>
              <w:rPr>
                <w:rFonts w:eastAsia="微软雅黑"/>
                <w:sz w:val="18"/>
              </w:rPr>
              <w:t>，核心业务页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绿色金融超市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 xml:space="preserve">SPA 内路由 </w:t>
            </w:r>
            <w:r>
              <w:rPr>
                <w:rFonts w:ascii="Consolas" w:hAnsi="Consolas" w:eastAsia="微软雅黑"/>
                <w:sz w:val="18"/>
              </w:rPr>
              <w:t>/financial-supermarket</w:t>
            </w:r>
            <w:r>
              <w:rPr>
                <w:rFonts w:eastAsia="微软雅黑"/>
                <w:sz w:val="18"/>
              </w:rPr>
              <w:t>，金融产品列表 + 本周推荐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金融产品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入口指向超市页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加入我们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 xml:space="preserve">指向 </w:t>
            </w:r>
            <w:r>
              <w:rPr>
                <w:rFonts w:ascii="Consolas" w:hAnsi="Consolas" w:eastAsia="微软雅黑"/>
                <w:sz w:val="18"/>
              </w:rPr>
              <w:t>join-us/index.html</w:t>
            </w:r>
            <w:r>
              <w:rPr>
                <w:rFonts w:eastAsia="微软雅黑"/>
                <w:sz w:val="18"/>
              </w:rPr>
              <w:t xml:space="preserve"> 独立页面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关于我们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SPA 内页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指标申报 / 企业登录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b/>
                <w:sz w:val="18"/>
              </w:rPr>
              <w:t>外链</w:t>
            </w:r>
            <w:r>
              <w:rPr>
                <w:rFonts w:eastAsia="微软雅黑"/>
                <w:sz w:val="18"/>
              </w:rPr>
              <w:t xml:space="preserve">到 </w:t>
            </w:r>
            <w:r>
              <w:rPr>
                <w:rFonts w:ascii="Consolas" w:hAnsi="Consolas" w:eastAsia="微软雅黑"/>
                <w:sz w:val="18"/>
              </w:rPr>
              <w:t>{__entUrl__}/App/Enterprise</w:t>
            </w:r>
            <w:r>
              <w:rPr>
                <w:rFonts w:eastAsia="微软雅黑"/>
                <w:sz w:val="18"/>
              </w:rPr>
              <w:t xml:space="preserve">（企业后台），注册外链 </w:t>
            </w:r>
            <w:r>
              <w:rPr>
                <w:rFonts w:ascii="Consolas" w:hAnsi="Consolas" w:eastAsia="微软雅黑"/>
                <w:sz w:val="18"/>
              </w:rPr>
              <w:t>{__entUrl__}/#EnterpriseRegistration@1</w:t>
            </w:r>
          </w:p>
        </w:tc>
      </w:tr>
    </w:tbl>
    <w:p>
      <w:pPr>
        <w:spacing w:after="40"/>
      </w:pPr>
    </w:p>
    <w:p>
      <w:r>
        <w:rPr>
          <w:b/>
        </w:rPr>
        <w:t>导航改造记录</w:t>
      </w:r>
      <w:r>
        <w:t>（TC03 回归项）：</w:t>
      </w:r>
    </w:p>
    <w:p>
      <w:pPr>
        <w:pStyle w:val="ListBullet"/>
        <w:ind w:left="360"/>
      </w:pPr>
      <w:r>
        <w:t>"指标申报 / 登录"由站内跳转改为 UAT 企业后台外链；</w:t>
      </w:r>
    </w:p>
    <w:p>
      <w:pPr>
        <w:pStyle w:val="ListBullet"/>
        <w:ind w:left="360"/>
      </w:pPr>
      <w:r>
        <w:t>菜单项"能源计算"已移除；</w:t>
      </w:r>
    </w:p>
    <w:p>
      <w:pPr>
        <w:pStyle w:val="ListBullet"/>
        <w:ind w:left="360"/>
      </w:pPr>
      <w:r>
        <w:t>浮窗"演示说明"已禁用。</w:t>
      </w:r>
    </w:p>
    <w:p>
      <w:pPr>
        <w:pStyle w:val="Heading3"/>
      </w:pPr>
      <w:r>
        <w:t>4.3 证书查询流程（核心链路）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用户输入企业全称 + 证书编号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    │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    ▼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点击「立即查询」→ 弹出真人验证滑块（原生 &lt;input type="range"&gt;）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    │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    ▼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滑块拖至阈值（≈83.3%，Math.abs(i/100*240-200)&lt;10）→ mouseup/touchend 触发验证通过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    │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    ▼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XHR POST {__entUrl__}/DataServices/OfficialWebsiteAPI/CertificateLookup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    │  FormData: EnterpriseName / CertificateCode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    ▼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响应写入 window.__certResultData（companyName/grade/region/result/certId/ratingType…）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    │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     ▼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结果卡片组件读取全局数据渲染评级结果</w:t>
      </w:r>
    </w:p>
    <w:p>
      <w:pPr>
        <w:spacing w:after="40"/>
      </w:pPr>
    </w:p>
    <w:p>
      <w:r>
        <w:rPr>
          <w:b/>
        </w:rPr>
        <w:t>实现要点：</w:t>
      </w:r>
    </w:p>
    <w:p>
      <w:pPr>
        <w:pStyle w:val="ListBullet"/>
        <w:ind w:left="360"/>
      </w:pPr>
      <w:r>
        <w:t xml:space="preserve">接口调用使用 </w:t>
      </w:r>
      <w:r>
        <w:rPr>
          <w:b/>
        </w:rPr>
        <w:t>XHR（非 fetch）</w:t>
      </w:r>
      <w:r>
        <w:t>，</w:t>
      </w:r>
      <w:r>
        <w:rPr>
          <w:rFonts w:ascii="Consolas" w:hAnsi="Consolas" w:eastAsia="微软雅黑"/>
          <w:sz w:val="19"/>
        </w:rPr>
        <w:t>responseType="text"</w:t>
      </w:r>
      <w:r>
        <w:t xml:space="preserve"> + 手动 JSON 解析；</w:t>
      </w:r>
    </w:p>
    <w:p>
      <w:pPr>
        <w:pStyle w:val="ListBullet"/>
        <w:ind w:left="360"/>
      </w:pPr>
      <w:r>
        <w:t xml:space="preserve">验证滑块无 </w:t>
      </w:r>
      <w:r>
        <w:rPr>
          <w:rFonts w:ascii="Consolas" w:hAnsi="Consolas" w:eastAsia="微软雅黑"/>
          <w:sz w:val="19"/>
        </w:rPr>
        <w:t>transition-all</w:t>
      </w:r>
      <w:r>
        <w:t xml:space="preserve"> 过渡（早期存在拖拽滞后的性能问题，已在产物中移除，TC04b 防回归）；</w:t>
      </w:r>
    </w:p>
    <w:p>
      <w:pPr>
        <w:pStyle w:val="ListBullet"/>
        <w:ind w:left="360"/>
      </w:pPr>
      <w:r>
        <w:t>查询按钮</w:t>
      </w:r>
      <w:r>
        <w:rPr>
          <w:b/>
        </w:rPr>
        <w:t>必须</w:t>
      </w:r>
      <w:r>
        <w:t>先通过滑块验证才发起请求（曾踩坑：按钮误跳过验证直连 API，TC04a/TC04c 防回归）。</w:t>
      </w:r>
    </w:p>
    <w:p>
      <w:pPr>
        <w:pStyle w:val="Heading2"/>
      </w:pPr>
      <w:r>
        <w:t>5. 配置机制</w:t>
      </w:r>
    </w:p>
    <w:p>
      <w:r>
        <w:rPr>
          <w:b/>
        </w:rPr>
        <w:t>配置文件：</w:t>
      </w:r>
      <w:r>
        <w:t xml:space="preserve"> </w:t>
      </w:r>
      <w:r>
        <w:rPr>
          <w:rFonts w:ascii="Consolas" w:hAnsi="Consolas" w:eastAsia="微软雅黑"/>
          <w:sz w:val="19"/>
        </w:rPr>
        <w:t>assets/config.js</w:t>
      </w:r>
      <w:r>
        <w:t>（唯一运行时配置点）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window.__entUrl__ = "https://uat-enterprise.carbon-grading.com";</w:t>
      </w:r>
    </w:p>
    <w:p>
      <w:pPr>
        <w:spacing w:after="40"/>
      </w:pPr>
    </w:p>
    <w:p>
      <w:r>
        <w:rPr>
          <w:b/>
        </w:rPr>
        <w:t>用途：</w:t>
      </w:r>
    </w:p>
    <w:p>
      <w:pPr>
        <w:pStyle w:val="ListBullet"/>
        <w:ind w:left="360"/>
      </w:pPr>
      <w:r>
        <w:t>导航外链基址（</w:t>
      </w:r>
      <w:r>
        <w:rPr>
          <w:rFonts w:ascii="Consolas" w:hAnsi="Consolas" w:eastAsia="微软雅黑"/>
          <w:sz w:val="19"/>
        </w:rPr>
        <w:t>/App/Enterprise</w:t>
      </w:r>
      <w:r>
        <w:t>、</w:t>
      </w:r>
      <w:r>
        <w:rPr>
          <w:rFonts w:ascii="Consolas" w:hAnsi="Consolas" w:eastAsia="微软雅黑"/>
          <w:sz w:val="19"/>
        </w:rPr>
        <w:t>/#EnterpriseRegistration@1</w:t>
      </w:r>
      <w:r>
        <w:t>）；</w:t>
      </w:r>
    </w:p>
    <w:p>
      <w:pPr>
        <w:pStyle w:val="ListBullet"/>
        <w:ind w:left="360"/>
      </w:pPr>
      <w:r>
        <w:t>证书查询 API 基址（</w:t>
      </w:r>
      <w:r>
        <w:rPr>
          <w:rFonts w:ascii="Consolas" w:hAnsi="Consolas" w:eastAsia="微软雅黑"/>
          <w:sz w:val="19"/>
        </w:rPr>
        <w:t>API_BASE_URL = window.__entUrl__</w:t>
      </w:r>
      <w:r>
        <w:t>）；</w:t>
      </w:r>
    </w:p>
    <w:p>
      <w:pPr>
        <w:pStyle w:val="ListBullet"/>
        <w:ind w:left="360"/>
      </w:pPr>
      <w:r>
        <w:t xml:space="preserve">join-us 页面提交基址（优先 </w:t>
      </w:r>
      <w:r>
        <w:rPr>
          <w:rFonts w:ascii="Consolas" w:hAnsi="Consolas" w:eastAsia="微软雅黑"/>
          <w:sz w:val="19"/>
        </w:rPr>
        <w:t>window.__apiUrl__</w:t>
      </w:r>
      <w:r>
        <w:t xml:space="preserve">，回退 </w:t>
      </w:r>
      <w:r>
        <w:rPr>
          <w:rFonts w:ascii="Consolas" w:hAnsi="Consolas" w:eastAsia="微软雅黑"/>
          <w:sz w:val="19"/>
        </w:rPr>
        <w:t>window.__entUrl__</w:t>
      </w:r>
      <w:r>
        <w:t>）。</w:t>
      </w:r>
    </w:p>
    <w:p>
      <w:r>
        <w:rPr>
          <w:b/>
        </w:rPr>
        <w:t>配置工具：</w:t>
      </w:r>
      <w:r>
        <w:t xml:space="preserve"> </w:t>
      </w:r>
      <w:r>
        <w:rPr>
          <w:rFonts w:ascii="Consolas" w:hAnsi="Consolas" w:eastAsia="微软雅黑"/>
          <w:sz w:val="19"/>
        </w:rPr>
        <w:t>setup-config.sh</w:t>
      </w:r>
      <w:r>
        <w:t>（bash，交互式）</w:t>
      </w:r>
    </w:p>
    <w:p>
      <w:pPr>
        <w:pStyle w:val="ListBullet"/>
        <w:ind w:left="360"/>
      </w:pPr>
      <w:r>
        <w:t xml:space="preserve">读取当前值作为默认值 → 提示输入基域名 → 确认后重写 </w:t>
      </w:r>
      <w:r>
        <w:rPr>
          <w:rFonts w:ascii="Consolas" w:hAnsi="Consolas" w:eastAsia="微软雅黑"/>
          <w:sz w:val="19"/>
        </w:rPr>
        <w:t>config.js</w:t>
      </w:r>
      <w:r>
        <w:t>；</w:t>
      </w:r>
    </w:p>
    <w:p>
      <w:pPr>
        <w:pStyle w:val="ListBullet"/>
        <w:ind w:left="360"/>
      </w:pPr>
      <w:r>
        <w:t>支持 UAT / 正式环境域名切换，改后需重新部署生效。</w:t>
      </w:r>
    </w:p>
    <w:p>
      <w:pPr>
        <w:ind w:left="360"/>
      </w:pPr>
      <w:r>
        <w:rPr>
          <w:rFonts w:eastAsia="微软雅黑"/>
          <w:i/>
          <w:color w:val="555555"/>
        </w:rPr>
        <w:t>注意：金融产品两个接口（`FinancialProductLookup` / `FinancialProductTypeList`）在产物中**硬编码为 `https://uat.carbon-grading.com`**，不随 `__entUrl__` 切换；正式环境上线前需同步修改此两处。</w:t>
      </w:r>
    </w:p>
    <w:p>
      <w:pPr>
        <w:pStyle w:val="Heading2"/>
      </w:pPr>
      <w:r>
        <w:t>6. 动态数据加载模式（前端插桩）</w:t>
      </w:r>
    </w:p>
    <w:p>
      <w:r>
        <w:t>由于前端是压缩产物直部署，动态数据采用「</w:t>
      </w:r>
      <w:r>
        <w:rPr>
          <w:b/>
        </w:rPr>
        <w:t>组件挂载时拉接口 → 写入 `window.__xxx` 全局 → 渲染读全局（失败退回静态兜底）</w:t>
      </w:r>
      <w:r>
        <w:t>」的模式：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eastAsia="微软雅黑"/>
                <w:b/>
                <w:sz w:val="18"/>
              </w:rPr>
            </w:r>
            <w:r>
              <w:rPr>
                <w:rFonts w:eastAsia="微软雅黑"/>
                <w:b/>
                <w:sz w:val="18"/>
              </w:rPr>
              <w:t>全局变量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b/>
                <w:sz w:val="18"/>
              </w:rPr>
            </w:r>
            <w:r>
              <w:rPr>
                <w:rFonts w:eastAsia="微软雅黑"/>
                <w:b/>
                <w:sz w:val="18"/>
              </w:rPr>
              <w:t>数据来源接口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b/>
                <w:sz w:val="18"/>
              </w:rPr>
            </w:r>
            <w:r>
              <w:rPr>
                <w:rFonts w:eastAsia="微软雅黑"/>
                <w:b/>
                <w:sz w:val="18"/>
              </w:rPr>
              <w:t>用途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b/>
                <w:sz w:val="18"/>
              </w:rPr>
            </w:r>
            <w:r>
              <w:rPr>
                <w:rFonts w:eastAsia="微软雅黑"/>
                <w:b/>
                <w:sz w:val="18"/>
              </w:rPr>
              <w:t>兜底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window.__certResultData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CertificateLookup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证书查询结果渲染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静态空对象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window.__productTypes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FinancialProductTypeList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超市页产品类型下拉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静态类型数组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window.__products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FinancialProductLookup</w:t>
            </w:r>
            <w:r>
              <w:rPr>
                <w:rFonts w:eastAsia="微软雅黑"/>
                <w:sz w:val="18"/>
              </w:rPr>
              <w:t>（官网显示=false）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超市全量产品列表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静态兜底数组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window.__hotProducts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FinancialProductLookup</w:t>
            </w:r>
            <w:r>
              <w:rPr>
                <w:rFonts w:eastAsia="微软雅黑"/>
                <w:sz w:val="18"/>
              </w:rPr>
              <w:t>（本周推荐=true）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本周热门推荐区块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静态兜底数组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window.__homeProducts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FinancialProductLookup</w:t>
            </w:r>
            <w:r>
              <w:rPr>
                <w:rFonts w:eastAsia="微软雅黑"/>
                <w:sz w:val="18"/>
              </w:rPr>
              <w:t>（首页显示=true）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首页金融产品区块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原 3 条硬编码</w:t>
            </w:r>
          </w:p>
        </w:tc>
      </w:tr>
    </w:tbl>
    <w:p>
      <w:pPr>
        <w:spacing w:after="40"/>
      </w:pPr>
    </w:p>
    <w:p>
      <w:r>
        <w:rPr>
          <w:b/>
        </w:rPr>
        <w:t>实现要点（压缩产物安全注入）：</w:t>
      </w:r>
    </w:p>
    <w:p>
      <w:pPr>
        <w:pStyle w:val="ListBullet"/>
        <w:ind w:left="360"/>
      </w:pPr>
      <w:r>
        <w:t xml:space="preserve">在对应组件 </w:t>
      </w:r>
      <w:r>
        <w:rPr>
          <w:rFonts w:ascii="Consolas" w:hAnsi="Consolas" w:eastAsia="微软雅黑"/>
          <w:sz w:val="19"/>
        </w:rPr>
        <w:t>useEffect</w:t>
      </w:r>
      <w:r>
        <w:t xml:space="preserve"> 内用 </w:t>
      </w:r>
      <w:r>
        <w:rPr>
          <w:rFonts w:ascii="Consolas" w:hAnsi="Consolas" w:eastAsia="微软雅黑"/>
          <w:sz w:val="19"/>
        </w:rPr>
        <w:t>fetch</w:t>
      </w:r>
      <w:r>
        <w:t>/</w:t>
      </w:r>
      <w:r>
        <w:rPr>
          <w:rFonts w:ascii="Consolas" w:hAnsi="Consolas" w:eastAsia="微软雅黑"/>
          <w:sz w:val="19"/>
        </w:rPr>
        <w:t>XHR</w:t>
      </w:r>
      <w:r>
        <w:t xml:space="preserve"> 拉取，成功后写全局并 </w:t>
      </w:r>
      <w:r>
        <w:rPr>
          <w:rFonts w:ascii="Consolas" w:hAnsi="Consolas" w:eastAsia="微软雅黑"/>
          <w:sz w:val="19"/>
        </w:rPr>
        <w:t>setState</w:t>
      </w:r>
      <w:r>
        <w:t xml:space="preserve"> 刷新 UI；</w:t>
      </w:r>
    </w:p>
    <w:p>
      <w:pPr>
        <w:pStyle w:val="ListBullet"/>
        <w:ind w:left="360"/>
      </w:pPr>
      <w:r>
        <w:t>接口失败时</w:t>
      </w:r>
      <w:r>
        <w:rPr>
          <w:b/>
        </w:rPr>
        <w:t>回退静态兜底，不白屏</w:t>
      </w:r>
      <w:r>
        <w:t>；</w:t>
      </w:r>
    </w:p>
    <w:p>
      <w:pPr>
        <w:pStyle w:val="ListBullet"/>
        <w:ind w:left="360"/>
      </w:pPr>
      <w:r>
        <w:t xml:space="preserve">由于产物是单行压缩 JS，注入采用"精确字符串替换 + </w:t>
      </w:r>
      <w:r>
        <w:rPr>
          <w:rFonts w:ascii="Consolas" w:hAnsi="Consolas" w:eastAsia="微软雅黑"/>
          <w:sz w:val="19"/>
        </w:rPr>
        <w:t>node --check</w:t>
      </w:r>
      <w:r>
        <w:t xml:space="preserve"> 校验"方式，避免括号失衡破坏语法；</w:t>
      </w:r>
    </w:p>
    <w:p>
      <w:pPr>
        <w:pStyle w:val="ListBullet"/>
        <w:ind w:left="360"/>
      </w:pPr>
      <w:r>
        <w:t>渲染层优先读全局（</w:t>
      </w:r>
      <w:r>
        <w:rPr>
          <w:rFonts w:ascii="Consolas" w:hAnsi="Consolas" w:eastAsia="微软雅黑"/>
          <w:sz w:val="19"/>
        </w:rPr>
        <w:t>(window.__xxx &amp;&amp; window.__xxx.length ? window.__xxx : fallback)</w:t>
      </w:r>
      <w:r>
        <w:t>）；</w:t>
      </w:r>
    </w:p>
    <w:p>
      <w:pPr>
        <w:pStyle w:val="ListBullet"/>
        <w:ind w:left="360"/>
      </w:pPr>
      <w:r>
        <w:t>首页产品图标/颜色按产品类型映射（保险→蓝色、基金→橙色、债券→蓝色、供应链→绿色、其他→灰）。</w:t>
      </w:r>
    </w:p>
    <w:p>
      <w:pPr>
        <w:pStyle w:val="Heading2"/>
      </w:pPr>
      <w:r>
        <w:t>7. 托管服务器</w:t>
      </w:r>
    </w:p>
    <w:p>
      <w:pPr>
        <w:pStyle w:val="Heading3"/>
      </w:pPr>
      <w:r>
        <w:t>server.js（Node.js，主用）</w:t>
      </w:r>
    </w:p>
    <w:p>
      <w:pPr>
        <w:pStyle w:val="ListBullet"/>
        <w:ind w:left="360"/>
      </w:pPr>
      <w:r>
        <w:t xml:space="preserve">零依赖，仅用 </w:t>
      </w:r>
      <w:r>
        <w:rPr>
          <w:rFonts w:ascii="Consolas" w:hAnsi="Consolas" w:eastAsia="微软雅黑"/>
          <w:sz w:val="19"/>
        </w:rPr>
        <w:t>http</w:t>
      </w:r>
      <w:r>
        <w:t>/</w:t>
      </w:r>
      <w:r>
        <w:rPr>
          <w:rFonts w:ascii="Consolas" w:hAnsi="Consolas" w:eastAsia="微软雅黑"/>
          <w:sz w:val="19"/>
        </w:rPr>
        <w:t>fs</w:t>
      </w:r>
      <w:r>
        <w:t>/</w:t>
      </w:r>
      <w:r>
        <w:rPr>
          <w:rFonts w:ascii="Consolas" w:hAnsi="Consolas" w:eastAsia="微软雅黑"/>
          <w:sz w:val="19"/>
        </w:rPr>
        <w:t>path</w:t>
      </w:r>
      <w:r>
        <w:t>；</w:t>
      </w:r>
    </w:p>
    <w:p>
      <w:pPr>
        <w:pStyle w:val="ListBullet"/>
        <w:ind w:left="360"/>
      </w:pPr>
      <w:r>
        <w:t xml:space="preserve">监听 </w:t>
      </w:r>
      <w:r>
        <w:rPr>
          <w:rFonts w:ascii="Consolas" w:hAnsi="Consolas" w:eastAsia="微软雅黑"/>
          <w:sz w:val="19"/>
        </w:rPr>
        <w:t>0.0.0.0</w:t>
      </w:r>
      <w:r>
        <w:t xml:space="preserve">，端口取 </w:t>
      </w:r>
      <w:r>
        <w:rPr>
          <w:rFonts w:ascii="Consolas" w:hAnsi="Consolas" w:eastAsia="微软雅黑"/>
          <w:sz w:val="19"/>
        </w:rPr>
        <w:t>process.env.PORT</w:t>
      </w:r>
      <w:r>
        <w:t xml:space="preserve">，默认 </w:t>
      </w:r>
      <w:r>
        <w:rPr>
          <w:b/>
        </w:rPr>
        <w:t>8080</w:t>
      </w:r>
      <w:r>
        <w:t>；</w:t>
      </w:r>
    </w:p>
    <w:p>
      <w:pPr>
        <w:pStyle w:val="ListBullet"/>
        <w:ind w:left="360"/>
      </w:pPr>
      <w:r>
        <w:t>MIME 表覆盖 html/js/css/json/图片/woff2；</w:t>
      </w:r>
    </w:p>
    <w:p>
      <w:pPr>
        <w:pStyle w:val="ListBullet"/>
        <w:ind w:left="360"/>
      </w:pPr>
      <w:r>
        <w:rPr>
          <w:b/>
        </w:rPr>
        <w:t>SPA fallback</w:t>
      </w:r>
      <w:r>
        <w:t xml:space="preserve">：文件不存在时一律回退返回 </w:t>
      </w:r>
      <w:r>
        <w:rPr>
          <w:rFonts w:ascii="Consolas" w:hAnsi="Consolas" w:eastAsia="微软雅黑"/>
          <w:sz w:val="19"/>
        </w:rPr>
        <w:t>index.html</w:t>
      </w:r>
      <w:r>
        <w:t xml:space="preserve">（保证 </w:t>
      </w:r>
      <w:r>
        <w:rPr>
          <w:rFonts w:ascii="Consolas" w:hAnsi="Consolas" w:eastAsia="微软雅黑"/>
          <w:sz w:val="19"/>
        </w:rPr>
        <w:t>/certificate-query</w:t>
      </w:r>
      <w:r>
        <w:t xml:space="preserve"> 等前端路由直达不 404）；</w:t>
      </w:r>
    </w:p>
    <w:p>
      <w:pPr>
        <w:pStyle w:val="ListBullet"/>
        <w:ind w:left="360"/>
      </w:pPr>
      <w:r>
        <w:t xml:space="preserve">目录访问自动补 </w:t>
      </w:r>
      <w:r>
        <w:rPr>
          <w:rFonts w:ascii="Consolas" w:hAnsi="Consolas" w:eastAsia="微软雅黑"/>
          <w:sz w:val="19"/>
        </w:rPr>
        <w:t>index.html</w:t>
      </w:r>
      <w:r>
        <w:t>。</w:t>
      </w:r>
    </w:p>
    <w:p>
      <w:pPr>
        <w:pStyle w:val="Heading3"/>
      </w:pPr>
      <w:r>
        <w:t>server.py（Python 备选）</w:t>
      </w:r>
    </w:p>
    <w:p>
      <w:pPr>
        <w:pStyle w:val="ListBullet"/>
        <w:ind w:left="360"/>
      </w:pPr>
      <w:r>
        <w:rPr>
          <w:rFonts w:ascii="Consolas" w:hAnsi="Consolas" w:eastAsia="微软雅黑"/>
          <w:sz w:val="19"/>
        </w:rPr>
        <w:t>http.server.SimpleHTTPRequestHandler</w:t>
      </w:r>
      <w:r>
        <w:t xml:space="preserve"> 子类，行为一致（存在文件正常出、否则回退 </w:t>
      </w:r>
      <w:r>
        <w:rPr>
          <w:rFonts w:ascii="Consolas" w:hAnsi="Consolas" w:eastAsia="微软雅黑"/>
          <w:sz w:val="19"/>
        </w:rPr>
        <w:t>index.html</w:t>
      </w:r>
      <w:r>
        <w:t>）；</w:t>
      </w:r>
    </w:p>
    <w:p>
      <w:pPr>
        <w:pStyle w:val="ListBullet"/>
        <w:ind w:left="360"/>
      </w:pPr>
      <w:r>
        <w:t>静默日志，端口取命令行参数，默认 8080。</w:t>
      </w:r>
    </w:p>
    <w:p>
      <w:pPr>
        <w:ind w:left="360"/>
      </w:pPr>
      <w:r>
        <w:rPr>
          <w:rFonts w:eastAsia="微软雅黑"/>
          <w:i/>
          <w:color w:val="555555"/>
        </w:rPr>
        <w:t>历史踩坑：部署平台默认 `python3 -m http.server` 不支持 SPA 回退（子路由 404），已改用上述带 fallback 的服务器。**若改回裸静态托管，TC02 必失败。**</w:t>
      </w:r>
    </w:p>
    <w:p>
      <w:pPr>
        <w:pStyle w:val="Heading2"/>
      </w:pPr>
      <w:r>
        <w:t>8. 数据接口层（外部依赖）</w:t>
      </w:r>
    </w:p>
    <w:p>
      <w:r>
        <w:t xml:space="preserve">所有接口为 </w:t>
      </w:r>
      <w:r>
        <w:rPr>
          <w:rFonts w:ascii="Consolas" w:hAnsi="Consolas" w:eastAsia="微软雅黑"/>
          <w:sz w:val="19"/>
        </w:rPr>
        <w:t>POST</w:t>
      </w:r>
      <w:r>
        <w:t xml:space="preserve">，位于企业后台 </w:t>
      </w:r>
      <w:r>
        <w:rPr>
          <w:rFonts w:ascii="Consolas" w:hAnsi="Consolas" w:eastAsia="微软雅黑"/>
          <w:sz w:val="19"/>
        </w:rPr>
        <w:t>DataServices/OfficialWebsiteAPI/</w:t>
      </w:r>
      <w:r>
        <w:t xml:space="preserve"> 命名空间：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eastAsia="微软雅黑"/>
                <w:b/>
                <w:sz w:val="18"/>
              </w:rPr>
            </w:r>
            <w:r>
              <w:rPr>
                <w:rFonts w:eastAsia="微软雅黑"/>
                <w:b/>
                <w:sz w:val="18"/>
              </w:rPr>
              <w:t>接口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b/>
                <w:sz w:val="18"/>
              </w:rPr>
            </w:r>
            <w:r>
              <w:rPr>
                <w:rFonts w:eastAsia="微软雅黑"/>
                <w:b/>
                <w:sz w:val="18"/>
              </w:rPr>
              <w:t>调用方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b/>
                <w:sz w:val="18"/>
              </w:rPr>
            </w:r>
            <w:r>
              <w:rPr>
                <w:rFonts w:eastAsia="微软雅黑"/>
                <w:b/>
                <w:sz w:val="18"/>
              </w:rPr>
              <w:t>入参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b/>
                <w:sz w:val="18"/>
              </w:rPr>
            </w:r>
            <w:r>
              <w:rPr>
                <w:rFonts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CertificateLookup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证书查询页（XHR+FormData）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EnterpriseName, CertificateCode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返回评级详情（等级/区域/结果/编号/类型）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FinancialProductLookup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超市页 + 首页（fetch）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官网首页显示 / 官网本周热门推荐 等布尔过滤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产品列表，按标记区分全量/推荐/首页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FinancialProductTypeList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超市页（fetch）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产品类型枚举（8 类 + "全部"）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CooperationApplication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join-us 页（fetch+FormData）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企业名称/信用代码/联系人/电话/邮箱/机构类型/大区…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合作伙伴申请提交</w:t>
            </w:r>
          </w:p>
        </w:tc>
      </w:tr>
    </w:tbl>
    <w:p>
      <w:pPr>
        <w:spacing w:after="40"/>
      </w:pPr>
    </w:p>
    <w:p>
      <w:r>
        <w:rPr>
          <w:b/>
        </w:rPr>
        <w:t>调用约束：</w:t>
      </w:r>
    </w:p>
    <w:p>
      <w:pPr>
        <w:pStyle w:val="ListBullet"/>
        <w:ind w:left="360"/>
      </w:pPr>
      <w:r>
        <w:t xml:space="preserve">证书查询走 </w:t>
      </w:r>
      <w:r>
        <w:rPr>
          <w:b/>
        </w:rPr>
        <w:t>XHR</w:t>
      </w:r>
      <w:r>
        <w:t xml:space="preserve">；金融产品与申请表单走 </w:t>
      </w:r>
      <w:r>
        <w:rPr>
          <w:b/>
        </w:rPr>
        <w:t>fetch</w:t>
      </w:r>
      <w:r>
        <w:t>；</w:t>
      </w:r>
    </w:p>
    <w:p>
      <w:pPr>
        <w:pStyle w:val="ListBullet"/>
        <w:ind w:left="360"/>
      </w:pPr>
      <w:r>
        <w:t xml:space="preserve">浏览器直连后台接口，当前未触发 CORS 拦截（实测可通）；若后台日后加同源限制，需改为经 </w:t>
      </w:r>
      <w:r>
        <w:rPr>
          <w:rFonts w:ascii="Consolas" w:hAnsi="Consolas" w:eastAsia="微软雅黑"/>
          <w:sz w:val="19"/>
        </w:rPr>
        <w:t>server.js</w:t>
      </w:r>
      <w:r>
        <w:t xml:space="preserve"> 代理；</w:t>
      </w:r>
    </w:p>
    <w:p>
      <w:pPr>
        <w:pStyle w:val="ListBullet"/>
        <w:ind w:left="360"/>
      </w:pPr>
      <w:r>
        <w:t>金融产品接口硬编码 UAT 域名（见 §5 风险）。</w:t>
      </w:r>
    </w:p>
    <w:p>
      <w:pPr>
        <w:pStyle w:val="Heading2"/>
      </w:pPr>
      <w:r>
        <w:t>9. 测试与运维体系</w:t>
      </w:r>
    </w:p>
    <w:p>
      <w:pPr>
        <w:pStyle w:val="Heading3"/>
      </w:pPr>
      <w:r>
        <w:t xml:space="preserve">9.1 一键回归 </w:t>
      </w:r>
      <w:r>
        <w:rPr>
          <w:rFonts w:ascii="Consolas" w:hAnsi="Consolas" w:eastAsia="微软雅黑"/>
          <w:sz w:val="19"/>
        </w:rPr>
        <w:t>run_tests.sh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eastAsia="微软雅黑"/>
                <w:b/>
                <w:sz w:val="18"/>
              </w:rPr>
            </w:r>
            <w:r>
              <w:rPr>
                <w:rFonts w:eastAsia="微软雅黑"/>
                <w:b/>
                <w:sz w:val="18"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b/>
                <w:sz w:val="18"/>
              </w:rPr>
            </w:r>
            <w:r>
              <w:rPr>
                <w:rFonts w:eastAsia="微软雅黑"/>
                <w:b/>
                <w:sz w:val="18"/>
              </w:rPr>
              <w:t>手段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b/>
                <w:sz w:val="18"/>
              </w:rPr>
            </w:r>
            <w:r>
              <w:rPr>
                <w:rFonts w:eastAsia="微软雅黑"/>
                <w:b/>
                <w:sz w:val="18"/>
              </w:rPr>
              <w:t>验证点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[1/3] 语法门禁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 xml:space="preserve">下载线上 JS → </w:t>
            </w:r>
            <w:r>
              <w:rPr>
                <w:rFonts w:ascii="Consolas" w:hAnsi="Consolas" w:eastAsia="微软雅黑"/>
                <w:sz w:val="18"/>
              </w:rPr>
              <w:t>node --check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压缩 JS 无语法错误（防白屏根因）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[2/3] 路由可达性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curl</w:t>
            </w:r>
            <w:r>
              <w:rPr>
                <w:rFonts w:eastAsia="微软雅黑"/>
                <w:sz w:val="18"/>
              </w:rPr>
              <w:t xml:space="preserve"> 首页 + </w:t>
            </w:r>
            <w:r>
              <w:rPr>
                <w:rFonts w:ascii="Consolas" w:hAnsi="Consolas" w:eastAsia="微软雅黑"/>
                <w:sz w:val="18"/>
              </w:rPr>
              <w:t>/certificate-query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均返回 200（SPA fallback 正确）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[3/3] E2E 功能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 xml:space="preserve">Playwright 运行 </w:t>
            </w:r>
            <w:r>
              <w:rPr>
                <w:rFonts w:ascii="Consolas" w:hAnsi="Consolas" w:eastAsia="微软雅黑"/>
                <w:sz w:val="18"/>
              </w:rPr>
              <w:t>tests/e2e_test.py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TC01~TC07 全量功能断言</w:t>
            </w:r>
          </w:p>
        </w:tc>
      </w:tr>
    </w:tbl>
    <w:p>
      <w:pPr>
        <w:spacing w:after="40"/>
      </w:pPr>
    </w:p>
    <w:p>
      <w:r>
        <w:t xml:space="preserve">默认目标 </w:t>
      </w:r>
      <w:r>
        <w:rPr>
          <w:rFonts w:ascii="Consolas" w:hAnsi="Consolas" w:eastAsia="微软雅黑"/>
          <w:sz w:val="19"/>
        </w:rPr>
        <w:t>https://a6724c73bfd2fc747.gz3.agentos-app.net</w:t>
      </w:r>
      <w:r>
        <w:t xml:space="preserve">（线上），可用 </w:t>
      </w:r>
      <w:r>
        <w:rPr>
          <w:rFonts w:ascii="Consolas" w:hAnsi="Consolas" w:eastAsia="微软雅黑"/>
          <w:sz w:val="19"/>
        </w:rPr>
        <w:t>BASE_URL</w:t>
      </w:r>
      <w:r>
        <w:t xml:space="preserve"> 覆盖，支持本地预览（如 </w:t>
      </w:r>
      <w:r>
        <w:rPr>
          <w:rFonts w:ascii="Consolas" w:hAnsi="Consolas" w:eastAsia="微软雅黑"/>
          <w:sz w:val="19"/>
        </w:rPr>
        <w:t>http://127.0.0.1:3000</w:t>
      </w:r>
      <w:r>
        <w:t>）。</w:t>
      </w:r>
    </w:p>
    <w:p>
      <w:pPr>
        <w:pStyle w:val="Heading3"/>
      </w:pPr>
      <w:r>
        <w:t>9.2 E2E 用例清单（TC01~TC07）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eastAsia="微软雅黑"/>
                <w:b/>
                <w:sz w:val="18"/>
              </w:rPr>
            </w:r>
            <w:r>
              <w:rPr>
                <w:rFonts w:eastAsia="微软雅黑"/>
                <w:b/>
                <w:sz w:val="18"/>
              </w:rPr>
              <w:t>用例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b/>
                <w:sz w:val="18"/>
              </w:rPr>
            </w:r>
            <w:r>
              <w:rPr>
                <w:rFonts w:eastAsia="微软雅黑"/>
                <w:b/>
                <w:sz w:val="18"/>
              </w:rPr>
              <w:t>覆盖点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b/>
                <w:sz w:val="18"/>
              </w:rPr>
            </w:r>
            <w:r>
              <w:rPr>
                <w:rFonts w:eastAsia="微软雅黑"/>
                <w:b/>
                <w:sz w:val="18"/>
              </w:rPr>
              <w:t>防回归要点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TC01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首页加载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防白屏、无 JS 运行时错误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TC02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SPA 子路由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/certificate-query</w:t>
            </w:r>
            <w:r>
              <w:rPr>
                <w:rFonts w:eastAsia="微软雅黑"/>
                <w:sz w:val="18"/>
              </w:rPr>
              <w:t xml:space="preserve"> 直达不 404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TC03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导航改造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外链 ≥1、无"能源计算/演示说明"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TC04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证书查询全流程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滑块弹出 → API 发出 → 结果数据/卡片完整（含评级类型）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TC05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产品类型动态加载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接口调用 + 9 项下拉（全部+8）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TC06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超市产品 + 本周推荐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两全局填充 + DOM 渲染 API 产品名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TC07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首页产品动态加载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替换硬编码兜底（"碳挂钩贷款"不得出现）</w:t>
            </w:r>
          </w:p>
        </w:tc>
      </w:tr>
    </w:tbl>
    <w:p>
      <w:pPr>
        <w:spacing w:after="40"/>
      </w:pPr>
    </w:p>
    <w:p>
      <w:r>
        <w:rPr>
          <w:b/>
        </w:rPr>
        <w:t>测试设计规范：</w:t>
      </w:r>
      <w:r>
        <w:t xml:space="preserve"> 异步等待一律用 </w:t>
      </w:r>
      <w:r>
        <w:rPr>
          <w:rFonts w:ascii="Consolas" w:hAnsi="Consolas" w:eastAsia="微软雅黑"/>
          <w:sz w:val="19"/>
        </w:rPr>
        <w:t>wait_for_function</w:t>
      </w:r>
      <w:r>
        <w:t>/</w:t>
      </w:r>
      <w:r>
        <w:rPr>
          <w:rFonts w:ascii="Consolas" w:hAnsi="Consolas" w:eastAsia="微软雅黑"/>
          <w:sz w:val="19"/>
        </w:rPr>
        <w:t>wait_for_selector</w:t>
      </w:r>
      <w:r>
        <w:t xml:space="preserve"> 轮询（不用固定 </w:t>
      </w:r>
      <w:r>
        <w:rPr>
          <w:rFonts w:ascii="Consolas" w:hAnsi="Consolas" w:eastAsia="微软雅黑"/>
          <w:sz w:val="19"/>
        </w:rPr>
        <w:t>sleep</w:t>
      </w:r>
      <w:r>
        <w:t xml:space="preserve">）；DOM 文本校验用 </w:t>
      </w:r>
      <w:r>
        <w:rPr>
          <w:rFonts w:ascii="Consolas" w:hAnsi="Consolas" w:eastAsia="微软雅黑"/>
          <w:sz w:val="19"/>
        </w:rPr>
        <w:t>textContent</w:t>
      </w:r>
      <w:r>
        <w:t xml:space="preserve">（避免 </w:t>
      </w:r>
      <w:r>
        <w:rPr>
          <w:rFonts w:ascii="Consolas" w:hAnsi="Consolas" w:eastAsia="微软雅黑"/>
          <w:sz w:val="19"/>
        </w:rPr>
        <w:t>innerText</w:t>
      </w:r>
      <w:r>
        <w:t xml:space="preserve"> 布局竞态）。</w:t>
      </w:r>
    </w:p>
    <w:p>
      <w:pPr>
        <w:pStyle w:val="Heading3"/>
      </w:pPr>
      <w:r>
        <w:t>9.3 CI 建议</w:t>
      </w:r>
    </w:p>
    <w:p>
      <w:r>
        <w:rPr>
          <w:rFonts w:ascii="Consolas" w:hAnsi="Consolas" w:eastAsia="微软雅黑"/>
          <w:sz w:val="19"/>
        </w:rPr>
        <w:t>run_tests.sh</w:t>
      </w:r>
      <w:r>
        <w:t xml:space="preserve"> 退出码 0=通过 / 1=失败，可直接挂发布后自动执行，失败阻断发布。</w:t>
      </w:r>
    </w:p>
    <w:p>
      <w:pPr>
        <w:pStyle w:val="Heading2"/>
      </w:pPr>
      <w:r>
        <w:t>10. 部署流程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1. bash setup-config.sh        # 交互配置企业后台基域名（写入 config.js）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2. 上传本目录全部文件至静态托管平台 / 自建服务器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3. 服务器需具备 SPA fallback：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· 自建：node server.js（或 python3 server.py）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 xml:space="preserve">   · 平台：确认托管支持未匹配路径回退 index.html</w:t>
      </w:r>
    </w:p>
    <w:p>
      <w:pPr>
        <w:spacing w:after="0" w:line="240" w:lineRule="auto"/>
        <w:ind w:left="240"/>
      </w:pPr>
      <w:r>
        <w:rPr>
          <w:rFonts w:ascii="Consolas" w:hAnsi="Consolas" w:eastAsia="微软雅黑"/>
          <w:sz w:val="17"/>
        </w:rPr>
        <w:t>4. bash run_tests.sh           # 三层回归全绿后放量</w:t>
      </w:r>
    </w:p>
    <w:p>
      <w:pPr>
        <w:spacing w:after="40"/>
      </w:pPr>
    </w:p>
    <w:p>
      <w:pPr>
        <w:pStyle w:val="Heading2"/>
      </w:pPr>
      <w:r>
        <w:t>11. 已知约束与风险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eastAsia="微软雅黑"/>
                <w:b/>
                <w:sz w:val="18"/>
              </w:rPr>
            </w:r>
            <w:r>
              <w:rPr>
                <w:rFonts w:eastAsia="微软雅黑"/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b/>
                <w:sz w:val="18"/>
              </w:rPr>
            </w:r>
            <w:r>
              <w:rPr>
                <w:rFonts w:eastAsia="微软雅黑"/>
                <w:b/>
                <w:sz w:val="18"/>
              </w:rPr>
              <w:t>事项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b/>
                <w:sz w:val="18"/>
              </w:rPr>
            </w:r>
            <w:r>
              <w:rPr>
                <w:rFonts w:eastAsia="微软雅黑"/>
                <w:b/>
                <w:sz w:val="18"/>
              </w:rPr>
              <w:t>影响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b/>
                <w:sz w:val="18"/>
              </w:rPr>
            </w:r>
            <w:r>
              <w:rPr>
                <w:rFonts w:eastAsia="微软雅黑"/>
                <w:b/>
                <w:sz w:val="18"/>
              </w:rPr>
              <w:t>建议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无前端源码工程在本目录，功能修改直接改压缩产物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可维护性低、易出错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保留源码工程，产物由构建生成；当前依赖"精确替换 + node --check"保护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金融产品两接口硬编码 UAT 域名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正式环境可能打不到生产接口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 xml:space="preserve">改为读取 </w:t>
            </w:r>
            <w:r>
              <w:rPr>
                <w:rFonts w:ascii="Consolas" w:hAnsi="Consolas" w:eastAsia="微软雅黑"/>
                <w:sz w:val="18"/>
              </w:rPr>
              <w:t>__entUrl__</w:t>
            </w:r>
            <w:r>
              <w:rPr>
                <w:rFonts w:eastAsia="微软雅黑"/>
                <w:sz w:val="18"/>
              </w:rPr>
              <w:t xml:space="preserve"> 或新增独立配置项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浏览器直连后台 API（CORS 依赖后台放行）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后台策略变化即中断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预留 server.js 反向代理方案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config.js</w:t>
            </w:r>
            <w:r>
              <w:rPr>
                <w:rFonts w:eastAsia="微软雅黑"/>
                <w:sz w:val="18"/>
              </w:rPr>
              <w:t xml:space="preserve"> 中域名与产物内 UAT 域名不一致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导航/证书查询与金融产品数据源可能不同环境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部署时脚本统一校验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 xml:space="preserve">依赖全局变量 </w:t>
            </w:r>
            <w:r>
              <w:rPr>
                <w:rFonts w:ascii="Consolas" w:hAnsi="Consolas" w:eastAsia="微软雅黑"/>
                <w:sz w:val="18"/>
              </w:rPr>
              <w:t>window.__xxx</w:t>
            </w:r>
            <w:r>
              <w:rPr>
                <w:rFonts w:eastAsia="微软雅黑"/>
                <w:sz w:val="18"/>
              </w:rPr>
              <w:t xml:space="preserve"> 作为跨组件通信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属非标准做法，重构时易被遗漏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测试用例已固化关键全局，作为安全网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ascii="Consolas" w:hAnsi="Consolas" w:eastAsia="微软雅黑"/>
                <w:sz w:val="18"/>
              </w:rPr>
              <w:t>index.js.bak</w:t>
            </w:r>
            <w:r>
              <w:rPr>
                <w:rFonts w:eastAsia="微软雅黑"/>
                <w:sz w:val="18"/>
              </w:rPr>
              <w:t>/</w:t>
            </w:r>
            <w:r>
              <w:rPr>
                <w:rFonts w:ascii="Consolas" w:hAnsi="Consolas" w:eastAsia="微软雅黑"/>
                <w:sz w:val="18"/>
              </w:rPr>
              <w:t>slider_bak</w:t>
            </w:r>
            <w:r>
              <w:rPr>
                <w:rFonts w:eastAsia="微软雅黑"/>
                <w:sz w:val="18"/>
              </w:rPr>
              <w:t>/</w:t>
            </w:r>
            <w:r>
              <w:rPr>
                <w:rFonts w:ascii="Consolas" w:hAnsi="Consolas" w:eastAsia="微软雅黑"/>
                <w:sz w:val="18"/>
              </w:rPr>
              <w:t>orig</w:t>
            </w:r>
            <w:r>
              <w:rPr>
                <w:rFonts w:eastAsia="微软雅黑"/>
                <w:sz w:val="18"/>
              </w:rPr>
              <w:t xml:space="preserve"> 备份文件随包部署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>冗余文件（可被公网下载）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sz w:val="18"/>
              </w:rPr>
            </w:r>
            <w:r>
              <w:rPr>
                <w:rFonts w:eastAsia="微软雅黑"/>
                <w:sz w:val="18"/>
              </w:rPr>
              <w:t xml:space="preserve">部署时排除 </w:t>
            </w:r>
            <w:r>
              <w:rPr>
                <w:rFonts w:ascii="Consolas" w:hAnsi="Consolas" w:eastAsia="微软雅黑"/>
                <w:sz w:val="18"/>
              </w:rPr>
              <w:t>*.bak</w:t>
            </w:r>
            <w:r>
              <w:rPr>
                <w:rFonts w:eastAsia="微软雅黑"/>
                <w:sz w:val="18"/>
              </w:rPr>
              <w:t>/</w:t>
            </w:r>
            <w:r>
              <w:rPr>
                <w:rFonts w:ascii="Consolas" w:hAnsi="Consolas" w:eastAsia="微软雅黑"/>
                <w:sz w:val="18"/>
              </w:rPr>
              <w:t>*.orig</w:t>
            </w:r>
          </w:p>
        </w:tc>
      </w:tr>
    </w:tbl>
    <w:p>
      <w:pPr>
        <w:spacing w:after="40"/>
      </w:pPr>
    </w:p>
    <w:p>
      <w:r>
        <w:rPr>
          <w:i/>
        </w:rPr>
        <w:t>文档版本：v1.0 · 生成日期：2026-08-11 · 分析对象：`开发代码/Code` 工作空间全量代码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C447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85FA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333333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