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BD4887" w:rsidP="00DE73A8">
      <w:pPr>
        <w:pStyle w:val="Kop1"/>
        <w:rPr>
          <w:lang w:val="nl-NL"/>
        </w:rPr>
      </w:pPr>
      <w:r>
        <w:rPr>
          <w:lang w:val="nl-NL"/>
        </w:rPr>
        <w:t xml:space="preserve">Meetrapport week2 - </w:t>
      </w:r>
      <w:r w:rsidR="00086C19">
        <w:rPr>
          <w:lang w:val="nl-NL"/>
        </w:rPr>
        <w:t>positie van ogen</w:t>
      </w:r>
    </w:p>
    <w:p w:rsidR="00DE73A8" w:rsidRPr="00DE73A8" w:rsidRDefault="00DE73A8" w:rsidP="00DE73A8">
      <w:pPr>
        <w:pStyle w:val="Kop2"/>
        <w:rPr>
          <w:lang w:val="nl-NL"/>
        </w:rPr>
      </w:pPr>
      <w:r>
        <w:rPr>
          <w:lang w:val="nl-NL"/>
        </w:rPr>
        <w:t>N</w:t>
      </w:r>
      <w:r w:rsidRPr="00DE73A8">
        <w:rPr>
          <w:lang w:val="nl-NL"/>
        </w:rPr>
        <w:t>amen en datum</w:t>
      </w:r>
    </w:p>
    <w:p w:rsidR="00DE73A8" w:rsidRDefault="00BD4887" w:rsidP="00BD4887">
      <w:pPr>
        <w:ind w:left="1440"/>
        <w:rPr>
          <w:lang w:val="nl-NL"/>
        </w:rPr>
      </w:pPr>
      <w:r>
        <w:rPr>
          <w:lang w:val="nl-NL"/>
        </w:rPr>
        <w:t>Patrick Schoonheym – Tijmen Bruggeman</w:t>
      </w:r>
    </w:p>
    <w:p w:rsidR="00BD4887" w:rsidRPr="00DE73A8" w:rsidRDefault="00BD4887" w:rsidP="00BD4887">
      <w:pPr>
        <w:ind w:left="1440"/>
        <w:rPr>
          <w:lang w:val="nl-NL"/>
        </w:rPr>
      </w:pPr>
      <w:r>
        <w:rPr>
          <w:lang w:val="nl-NL"/>
        </w:rPr>
        <w:t>Mei 2015</w:t>
      </w:r>
    </w:p>
    <w:p w:rsidR="00DE73A8" w:rsidRPr="00DE73A8" w:rsidRDefault="00DE73A8" w:rsidP="00DE73A8">
      <w:pPr>
        <w:pStyle w:val="Kop2"/>
        <w:rPr>
          <w:lang w:val="nl-NL"/>
        </w:rPr>
      </w:pPr>
      <w:r w:rsidRPr="00DE73A8">
        <w:rPr>
          <w:lang w:val="nl-NL"/>
        </w:rPr>
        <w:t>Doel</w:t>
      </w:r>
    </w:p>
    <w:p w:rsidR="00DE73A8" w:rsidRPr="00DE73A8" w:rsidRDefault="009A158D" w:rsidP="00DE73A8">
      <w:pPr>
        <w:rPr>
          <w:lang w:val="nl-NL"/>
        </w:rPr>
      </w:pPr>
      <w:r>
        <w:rPr>
          <w:lang w:val="nl-NL"/>
        </w:rPr>
        <w:t>We gaan de</w:t>
      </w:r>
      <w:r w:rsidR="00086C19">
        <w:rPr>
          <w:lang w:val="nl-NL"/>
        </w:rPr>
        <w:t xml:space="preserve"> output </w:t>
      </w:r>
      <w:r>
        <w:rPr>
          <w:lang w:val="nl-NL"/>
        </w:rPr>
        <w:t xml:space="preserve">van onze eigen </w:t>
      </w:r>
      <w:r w:rsidR="00086C19">
        <w:rPr>
          <w:lang w:val="nl-NL"/>
        </w:rPr>
        <w:t>implementatie</w:t>
      </w:r>
      <w:r>
        <w:rPr>
          <w:lang w:val="nl-NL"/>
        </w:rPr>
        <w:t xml:space="preserve"> ver</w:t>
      </w:r>
      <w:r w:rsidR="00086C19">
        <w:rPr>
          <w:lang w:val="nl-NL"/>
        </w:rPr>
        <w:t>gelijken met de output van de default implementatie</w:t>
      </w:r>
      <w:r>
        <w:rPr>
          <w:lang w:val="nl-NL"/>
        </w:rPr>
        <w:t>. Hieruit kunnen we dan opmaken of onze functie werkt en/of beter werkt.</w:t>
      </w:r>
    </w:p>
    <w:p w:rsidR="00DE73A8" w:rsidRPr="00DE73A8" w:rsidRDefault="00DE73A8" w:rsidP="00DE73A8">
      <w:pPr>
        <w:pStyle w:val="Kop2"/>
        <w:rPr>
          <w:lang w:val="nl-NL"/>
        </w:rPr>
      </w:pPr>
      <w:r w:rsidRPr="00DE73A8">
        <w:rPr>
          <w:lang w:val="nl-NL"/>
        </w:rPr>
        <w:t>Hypothese</w:t>
      </w:r>
    </w:p>
    <w:p w:rsidR="00701299" w:rsidRDefault="00701299" w:rsidP="00DE73A8">
      <w:pPr>
        <w:rPr>
          <w:lang w:val="nl-NL"/>
        </w:rPr>
      </w:pPr>
      <w:r>
        <w:rPr>
          <w:lang w:val="nl-NL"/>
        </w:rPr>
        <w:t>Wij verwachten dat de output van de default ongeveer hetzelfde zal zijn als de output van onze eigen implementatie.</w:t>
      </w:r>
    </w:p>
    <w:p w:rsidR="00701299" w:rsidRPr="00DE73A8" w:rsidRDefault="00086C19" w:rsidP="00DE73A8">
      <w:pPr>
        <w:rPr>
          <w:lang w:val="nl-NL"/>
        </w:rPr>
      </w:pPr>
      <w:r>
        <w:rPr>
          <w:lang w:val="nl-NL"/>
        </w:rPr>
        <w:t>Natuurlijk zullen de rectangles om de ogen nooit even groot zijn maar gemiddeld gezien zal het wel overeen komen.</w:t>
      </w:r>
    </w:p>
    <w:p w:rsidR="00DE73A8" w:rsidRPr="00DE73A8" w:rsidRDefault="00DE73A8" w:rsidP="00DE73A8">
      <w:pPr>
        <w:pStyle w:val="Kop2"/>
        <w:rPr>
          <w:lang w:val="nl-NL"/>
        </w:rPr>
      </w:pPr>
      <w:r w:rsidRPr="00DE73A8">
        <w:rPr>
          <w:lang w:val="nl-NL"/>
        </w:rPr>
        <w:t>Werkwijze</w:t>
      </w:r>
    </w:p>
    <w:p w:rsidR="00DE73A8" w:rsidRPr="00DE73A8" w:rsidRDefault="00D1234D" w:rsidP="00DD1B16">
      <w:pPr>
        <w:jc w:val="left"/>
        <w:rPr>
          <w:lang w:val="nl-NL"/>
        </w:rPr>
      </w:pPr>
      <w:r>
        <w:rPr>
          <w:lang w:val="nl-NL"/>
        </w:rPr>
        <w:t>We waardes van de ogen slaan we op met de standaard implementatie. Dit doen we ook voor onze eigen implementatie. Vervolgens kunnen we de waardes van de standaard i</w:t>
      </w:r>
      <w:r w:rsidR="00F90BB5">
        <w:rPr>
          <w:lang w:val="nl-NL"/>
        </w:rPr>
        <w:t xml:space="preserve">mplementatie vergelijken met de </w:t>
      </w:r>
      <w:r w:rsidR="005024E9">
        <w:rPr>
          <w:lang w:val="nl-NL"/>
        </w:rPr>
        <w:t>met de waardes uit onze eigen implementatie.</w:t>
      </w:r>
    </w:p>
    <w:p w:rsidR="00DE73A8" w:rsidRPr="00DE73A8" w:rsidRDefault="00DE73A8" w:rsidP="00DE73A8">
      <w:pPr>
        <w:pStyle w:val="Kop2"/>
        <w:rPr>
          <w:lang w:val="nl-NL"/>
        </w:rPr>
      </w:pPr>
      <w:r w:rsidRPr="00DE73A8">
        <w:rPr>
          <w:lang w:val="nl-NL"/>
        </w:rPr>
        <w:t>Resultaten</w:t>
      </w:r>
    </w:p>
    <w:tbl>
      <w:tblPr>
        <w:tblStyle w:val="Tabelraster"/>
        <w:tblW w:w="0" w:type="auto"/>
        <w:tblLook w:val="04A0" w:firstRow="1" w:lastRow="0" w:firstColumn="1" w:lastColumn="0" w:noHBand="0" w:noVBand="1"/>
      </w:tblPr>
      <w:tblGrid>
        <w:gridCol w:w="2375"/>
        <w:gridCol w:w="2375"/>
        <w:gridCol w:w="2375"/>
        <w:gridCol w:w="2375"/>
      </w:tblGrid>
      <w:tr w:rsidR="00B36B9C" w:rsidTr="00B36B9C">
        <w:tc>
          <w:tcPr>
            <w:tcW w:w="2375" w:type="dxa"/>
            <w:tcBorders>
              <w:top w:val="single" w:sz="4" w:space="0" w:color="auto"/>
              <w:left w:val="single" w:sz="4" w:space="0" w:color="auto"/>
              <w:bottom w:val="single" w:sz="4" w:space="0" w:color="auto"/>
              <w:right w:val="nil"/>
            </w:tcBorders>
          </w:tcPr>
          <w:p w:rsidR="00B36B9C" w:rsidRDefault="00B36B9C" w:rsidP="00DE73A8">
            <w:pPr>
              <w:rPr>
                <w:lang w:val="nl-NL"/>
              </w:rPr>
            </w:pPr>
            <w:r>
              <w:rPr>
                <w:lang w:val="nl-NL"/>
              </w:rPr>
              <w:t>Eigen waarde</w:t>
            </w:r>
          </w:p>
        </w:tc>
        <w:tc>
          <w:tcPr>
            <w:tcW w:w="2375" w:type="dxa"/>
            <w:tcBorders>
              <w:top w:val="single" w:sz="4" w:space="0" w:color="auto"/>
              <w:left w:val="nil"/>
              <w:bottom w:val="single" w:sz="4" w:space="0" w:color="auto"/>
              <w:right w:val="single" w:sz="4" w:space="0" w:color="auto"/>
            </w:tcBorders>
          </w:tcPr>
          <w:p w:rsidR="00B36B9C" w:rsidRDefault="00B36B9C" w:rsidP="00DE73A8">
            <w:pPr>
              <w:rPr>
                <w:lang w:val="nl-NL"/>
              </w:rPr>
            </w:pPr>
          </w:p>
        </w:tc>
        <w:tc>
          <w:tcPr>
            <w:tcW w:w="2375" w:type="dxa"/>
            <w:tcBorders>
              <w:top w:val="single" w:sz="4" w:space="0" w:color="auto"/>
              <w:left w:val="single" w:sz="4" w:space="0" w:color="auto"/>
              <w:bottom w:val="single" w:sz="4" w:space="0" w:color="auto"/>
              <w:right w:val="nil"/>
            </w:tcBorders>
          </w:tcPr>
          <w:p w:rsidR="00B36B9C" w:rsidRDefault="00B36B9C" w:rsidP="00DE73A8">
            <w:pPr>
              <w:rPr>
                <w:lang w:val="nl-NL"/>
              </w:rPr>
            </w:pPr>
            <w:r>
              <w:rPr>
                <w:lang w:val="nl-NL"/>
              </w:rPr>
              <w:t>Standaard waarde</w:t>
            </w:r>
          </w:p>
        </w:tc>
        <w:tc>
          <w:tcPr>
            <w:tcW w:w="2375" w:type="dxa"/>
            <w:tcBorders>
              <w:top w:val="single" w:sz="4" w:space="0" w:color="auto"/>
              <w:left w:val="nil"/>
              <w:bottom w:val="single" w:sz="4" w:space="0" w:color="auto"/>
              <w:right w:val="single" w:sz="4" w:space="0" w:color="auto"/>
            </w:tcBorders>
          </w:tcPr>
          <w:p w:rsidR="00B36B9C" w:rsidRDefault="00B36B9C" w:rsidP="00DE73A8">
            <w:pPr>
              <w:rPr>
                <w:lang w:val="nl-NL"/>
              </w:rPr>
            </w:pPr>
          </w:p>
        </w:tc>
      </w:tr>
      <w:tr w:rsidR="00B36B9C" w:rsidTr="00B36B9C">
        <w:tc>
          <w:tcPr>
            <w:tcW w:w="2375" w:type="dxa"/>
            <w:tcBorders>
              <w:top w:val="single" w:sz="4" w:space="0" w:color="auto"/>
            </w:tcBorders>
          </w:tcPr>
          <w:p w:rsidR="00B36B9C" w:rsidRPr="003C3F43" w:rsidRDefault="00B36B9C" w:rsidP="00DE73A8">
            <w:pPr>
              <w:rPr>
                <w:b/>
                <w:lang w:val="nl-NL"/>
              </w:rPr>
            </w:pPr>
            <w:r w:rsidRPr="003C3F43">
              <w:rPr>
                <w:b/>
                <w:lang w:val="nl-NL"/>
              </w:rPr>
              <w:t>Links:</w:t>
            </w:r>
          </w:p>
        </w:tc>
        <w:tc>
          <w:tcPr>
            <w:tcW w:w="2375" w:type="dxa"/>
            <w:tcBorders>
              <w:top w:val="single" w:sz="4" w:space="0" w:color="auto"/>
            </w:tcBorders>
          </w:tcPr>
          <w:p w:rsidR="00B36B9C" w:rsidRPr="003C3F43" w:rsidRDefault="00B36B9C" w:rsidP="00DE73A8">
            <w:pPr>
              <w:rPr>
                <w:b/>
                <w:lang w:val="nl-NL"/>
              </w:rPr>
            </w:pPr>
            <w:r w:rsidRPr="003C3F43">
              <w:rPr>
                <w:b/>
                <w:lang w:val="nl-NL"/>
              </w:rPr>
              <w:t>Rechts</w:t>
            </w:r>
          </w:p>
        </w:tc>
        <w:tc>
          <w:tcPr>
            <w:tcW w:w="2375" w:type="dxa"/>
            <w:tcBorders>
              <w:top w:val="single" w:sz="4" w:space="0" w:color="auto"/>
            </w:tcBorders>
          </w:tcPr>
          <w:p w:rsidR="00B36B9C" w:rsidRPr="003C3F43" w:rsidRDefault="00B36B9C" w:rsidP="00DE73A8">
            <w:pPr>
              <w:rPr>
                <w:b/>
                <w:lang w:val="nl-NL"/>
              </w:rPr>
            </w:pPr>
            <w:r w:rsidRPr="003C3F43">
              <w:rPr>
                <w:b/>
                <w:lang w:val="nl-NL"/>
              </w:rPr>
              <w:t>Links</w:t>
            </w:r>
          </w:p>
        </w:tc>
        <w:tc>
          <w:tcPr>
            <w:tcW w:w="2375" w:type="dxa"/>
            <w:tcBorders>
              <w:top w:val="single" w:sz="4" w:space="0" w:color="auto"/>
            </w:tcBorders>
          </w:tcPr>
          <w:p w:rsidR="00B36B9C" w:rsidRPr="003C3F43" w:rsidRDefault="00B36B9C" w:rsidP="00DE73A8">
            <w:pPr>
              <w:rPr>
                <w:b/>
                <w:lang w:val="nl-NL"/>
              </w:rPr>
            </w:pPr>
            <w:r w:rsidRPr="003C3F43">
              <w:rPr>
                <w:b/>
                <w:lang w:val="nl-NL"/>
              </w:rPr>
              <w:t>rechts</w:t>
            </w:r>
          </w:p>
        </w:tc>
      </w:tr>
      <w:tr w:rsidR="003C3F43" w:rsidTr="00B36B9C">
        <w:tc>
          <w:tcPr>
            <w:tcW w:w="2375" w:type="dxa"/>
          </w:tcPr>
          <w:p w:rsidR="003C3F43" w:rsidRDefault="003C3F43" w:rsidP="003C3F43">
            <w:pPr>
              <w:rPr>
                <w:lang w:val="nl-NL"/>
              </w:rPr>
            </w:pPr>
            <w:r w:rsidRPr="003C3F43">
              <w:rPr>
                <w:lang w:val="nl-NL"/>
              </w:rPr>
              <w:t>69,83 - 92,89</w:t>
            </w:r>
          </w:p>
        </w:tc>
        <w:tc>
          <w:tcPr>
            <w:tcW w:w="2375" w:type="dxa"/>
          </w:tcPr>
          <w:p w:rsidR="003C3F43" w:rsidRDefault="003C3F43" w:rsidP="003C3F43">
            <w:pPr>
              <w:rPr>
                <w:lang w:val="nl-NL"/>
              </w:rPr>
            </w:pPr>
            <w:r w:rsidRPr="003C3F43">
              <w:rPr>
                <w:lang w:val="nl-NL"/>
              </w:rPr>
              <w:t>98,83 - 119,92</w:t>
            </w:r>
          </w:p>
        </w:tc>
        <w:tc>
          <w:tcPr>
            <w:tcW w:w="2375" w:type="dxa"/>
          </w:tcPr>
          <w:p w:rsidR="003C3F43" w:rsidRDefault="003C3F43" w:rsidP="003C3F43">
            <w:pPr>
              <w:rPr>
                <w:lang w:val="nl-NL"/>
              </w:rPr>
            </w:pPr>
            <w:r>
              <w:rPr>
                <w:lang w:val="nl-NL"/>
              </w:rPr>
              <w:t>70,81 - 92,86</w:t>
            </w:r>
          </w:p>
        </w:tc>
        <w:tc>
          <w:tcPr>
            <w:tcW w:w="2375" w:type="dxa"/>
          </w:tcPr>
          <w:p w:rsidR="003C3F43" w:rsidRDefault="003C3F43" w:rsidP="003C3F43">
            <w:pPr>
              <w:rPr>
                <w:lang w:val="nl-NL"/>
              </w:rPr>
            </w:pPr>
            <w:r>
              <w:rPr>
                <w:lang w:val="nl-NL"/>
              </w:rPr>
              <w:t>102,81 – 118,86</w:t>
            </w:r>
          </w:p>
        </w:tc>
      </w:tr>
      <w:tr w:rsidR="00B36B9C" w:rsidTr="003C3F43">
        <w:trPr>
          <w:trHeight w:val="221"/>
        </w:trPr>
        <w:tc>
          <w:tcPr>
            <w:tcW w:w="2375" w:type="dxa"/>
          </w:tcPr>
          <w:p w:rsidR="00B36B9C" w:rsidRDefault="003C3F43" w:rsidP="00DE73A8">
            <w:pPr>
              <w:rPr>
                <w:lang w:val="nl-NL"/>
              </w:rPr>
            </w:pPr>
            <w:r w:rsidRPr="003C3F43">
              <w:rPr>
                <w:lang w:val="nl-NL"/>
              </w:rPr>
              <w:t>82,92 - 108,100</w:t>
            </w:r>
          </w:p>
        </w:tc>
        <w:tc>
          <w:tcPr>
            <w:tcW w:w="2375" w:type="dxa"/>
          </w:tcPr>
          <w:p w:rsidR="00B36B9C" w:rsidRDefault="003C3F43" w:rsidP="00DE73A8">
            <w:pPr>
              <w:rPr>
                <w:lang w:val="nl-NL"/>
              </w:rPr>
            </w:pPr>
            <w:r w:rsidRPr="003C3F43">
              <w:rPr>
                <w:lang w:val="nl-NL"/>
              </w:rPr>
              <w:t>116,91 - 142,100</w:t>
            </w:r>
          </w:p>
        </w:tc>
        <w:tc>
          <w:tcPr>
            <w:tcW w:w="2375" w:type="dxa"/>
          </w:tcPr>
          <w:p w:rsidR="00B36B9C" w:rsidRDefault="003C3F43" w:rsidP="00DE73A8">
            <w:pPr>
              <w:rPr>
                <w:lang w:val="nl-NL"/>
              </w:rPr>
            </w:pPr>
            <w:r w:rsidRPr="003C3F43">
              <w:rPr>
                <w:lang w:val="nl-NL"/>
              </w:rPr>
              <w:t>83,90 - 105,96</w:t>
            </w:r>
          </w:p>
        </w:tc>
        <w:tc>
          <w:tcPr>
            <w:tcW w:w="2375" w:type="dxa"/>
          </w:tcPr>
          <w:p w:rsidR="00B36B9C" w:rsidRDefault="003C3F43" w:rsidP="00DE73A8">
            <w:pPr>
              <w:rPr>
                <w:lang w:val="nl-NL"/>
              </w:rPr>
            </w:pPr>
            <w:r w:rsidRPr="003C3F43">
              <w:rPr>
                <w:lang w:val="nl-NL"/>
              </w:rPr>
              <w:t>118,89 - 141,96</w:t>
            </w:r>
          </w:p>
        </w:tc>
      </w:tr>
      <w:tr w:rsidR="003C3F43" w:rsidTr="003C3F43">
        <w:trPr>
          <w:trHeight w:val="221"/>
        </w:trPr>
        <w:tc>
          <w:tcPr>
            <w:tcW w:w="2375" w:type="dxa"/>
          </w:tcPr>
          <w:p w:rsidR="003C3F43" w:rsidRPr="003C3F43" w:rsidRDefault="003C3F43" w:rsidP="00DE73A8">
            <w:pPr>
              <w:rPr>
                <w:lang w:val="nl-NL"/>
              </w:rPr>
            </w:pPr>
            <w:r w:rsidRPr="003C3F43">
              <w:rPr>
                <w:lang w:val="nl-NL"/>
              </w:rPr>
              <w:t>34,66 - 46,72</w:t>
            </w:r>
          </w:p>
        </w:tc>
        <w:tc>
          <w:tcPr>
            <w:tcW w:w="2375" w:type="dxa"/>
          </w:tcPr>
          <w:p w:rsidR="003C3F43" w:rsidRPr="003C3F43" w:rsidRDefault="003C3F43" w:rsidP="00DE73A8">
            <w:pPr>
              <w:rPr>
                <w:lang w:val="nl-NL"/>
              </w:rPr>
            </w:pPr>
            <w:r w:rsidRPr="003C3F43">
              <w:rPr>
                <w:lang w:val="nl-NL"/>
              </w:rPr>
              <w:t>59,73 - 63,76</w:t>
            </w:r>
          </w:p>
        </w:tc>
        <w:tc>
          <w:tcPr>
            <w:tcW w:w="2375" w:type="dxa"/>
          </w:tcPr>
          <w:p w:rsidR="003C3F43" w:rsidRPr="003C3F43" w:rsidRDefault="003C3F43" w:rsidP="00DE73A8">
            <w:pPr>
              <w:rPr>
                <w:lang w:val="nl-NL"/>
              </w:rPr>
            </w:pPr>
            <w:r w:rsidRPr="003C3F43">
              <w:rPr>
                <w:lang w:val="nl-NL"/>
              </w:rPr>
              <w:t>35,64 - 45,70</w:t>
            </w:r>
          </w:p>
        </w:tc>
        <w:tc>
          <w:tcPr>
            <w:tcW w:w="2375" w:type="dxa"/>
          </w:tcPr>
          <w:p w:rsidR="003C3F43" w:rsidRPr="003C3F43" w:rsidRDefault="003C3F43" w:rsidP="00DE73A8">
            <w:pPr>
              <w:rPr>
                <w:lang w:val="nl-NL"/>
              </w:rPr>
            </w:pPr>
            <w:r w:rsidRPr="003C3F43">
              <w:rPr>
                <w:lang w:val="nl-NL"/>
              </w:rPr>
              <w:t>65,64 - 75,70</w:t>
            </w:r>
          </w:p>
        </w:tc>
      </w:tr>
    </w:tbl>
    <w:p w:rsidR="00DE73A8" w:rsidRPr="00DE73A8" w:rsidRDefault="00DE73A8"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Default="003C3F43" w:rsidP="00DE73A8">
      <w:pPr>
        <w:rPr>
          <w:lang w:val="nl-NL"/>
        </w:rPr>
      </w:pPr>
      <w:r>
        <w:rPr>
          <w:lang w:val="nl-NL"/>
        </w:rPr>
        <w:t>Als we van alle punten het gemiddelde verschil tussen de eigen waarde en de standaard waarde berekenen krijgen we de volgende uitkomst:</w:t>
      </w:r>
    </w:p>
    <w:tbl>
      <w:tblPr>
        <w:tblStyle w:val="Tabelraster"/>
        <w:tblW w:w="0" w:type="auto"/>
        <w:tblLook w:val="04A0" w:firstRow="1" w:lastRow="0" w:firstColumn="1" w:lastColumn="0" w:noHBand="0" w:noVBand="1"/>
      </w:tblPr>
      <w:tblGrid>
        <w:gridCol w:w="4750"/>
        <w:gridCol w:w="4750"/>
      </w:tblGrid>
      <w:tr w:rsidR="003C3F43" w:rsidTr="003C3F43">
        <w:tc>
          <w:tcPr>
            <w:tcW w:w="4750" w:type="dxa"/>
            <w:tcBorders>
              <w:top w:val="single" w:sz="4" w:space="0" w:color="auto"/>
              <w:left w:val="single" w:sz="4" w:space="0" w:color="auto"/>
              <w:bottom w:val="single" w:sz="4" w:space="0" w:color="auto"/>
              <w:right w:val="nil"/>
            </w:tcBorders>
          </w:tcPr>
          <w:p w:rsidR="003C3F43" w:rsidRDefault="003C3F43" w:rsidP="00DE73A8">
            <w:pPr>
              <w:rPr>
                <w:lang w:val="nl-NL"/>
              </w:rPr>
            </w:pPr>
            <w:r>
              <w:rPr>
                <w:lang w:val="nl-NL"/>
              </w:rPr>
              <w:t>Verschil</w:t>
            </w:r>
            <w:r w:rsidR="00397FD7">
              <w:rPr>
                <w:lang w:val="nl-NL"/>
              </w:rPr>
              <w:t xml:space="preserve"> in x en y positie van de ogen</w:t>
            </w:r>
          </w:p>
        </w:tc>
        <w:tc>
          <w:tcPr>
            <w:tcW w:w="4750" w:type="dxa"/>
            <w:tcBorders>
              <w:top w:val="single" w:sz="4" w:space="0" w:color="auto"/>
              <w:left w:val="nil"/>
              <w:bottom w:val="single" w:sz="4" w:space="0" w:color="auto"/>
              <w:right w:val="single" w:sz="4" w:space="0" w:color="auto"/>
            </w:tcBorders>
          </w:tcPr>
          <w:p w:rsidR="003C3F43" w:rsidRDefault="003C3F43" w:rsidP="00DE73A8">
            <w:pPr>
              <w:rPr>
                <w:lang w:val="nl-NL"/>
              </w:rPr>
            </w:pPr>
          </w:p>
        </w:tc>
      </w:tr>
      <w:tr w:rsidR="003C3F43" w:rsidTr="003C3F43">
        <w:tc>
          <w:tcPr>
            <w:tcW w:w="4750" w:type="dxa"/>
            <w:tcBorders>
              <w:top w:val="single" w:sz="4" w:space="0" w:color="auto"/>
            </w:tcBorders>
          </w:tcPr>
          <w:p w:rsidR="003C3F43" w:rsidRPr="003C3F43" w:rsidRDefault="003C3F43" w:rsidP="00DE73A8">
            <w:pPr>
              <w:rPr>
                <w:b/>
                <w:lang w:val="nl-NL"/>
              </w:rPr>
            </w:pPr>
            <w:r w:rsidRPr="003C3F43">
              <w:rPr>
                <w:b/>
                <w:lang w:val="nl-NL"/>
              </w:rPr>
              <w:t>Links</w:t>
            </w:r>
          </w:p>
        </w:tc>
        <w:tc>
          <w:tcPr>
            <w:tcW w:w="4750" w:type="dxa"/>
            <w:tcBorders>
              <w:top w:val="single" w:sz="4" w:space="0" w:color="auto"/>
            </w:tcBorders>
          </w:tcPr>
          <w:p w:rsidR="003C3F43" w:rsidRPr="003C3F43" w:rsidRDefault="003C3F43" w:rsidP="00DE73A8">
            <w:pPr>
              <w:rPr>
                <w:b/>
                <w:lang w:val="nl-NL"/>
              </w:rPr>
            </w:pPr>
            <w:r w:rsidRPr="003C3F43">
              <w:rPr>
                <w:b/>
                <w:lang w:val="nl-NL"/>
              </w:rPr>
              <w:t>Rechts</w:t>
            </w:r>
          </w:p>
        </w:tc>
      </w:tr>
      <w:tr w:rsidR="003C3F43" w:rsidTr="003C3F43">
        <w:tc>
          <w:tcPr>
            <w:tcW w:w="4750" w:type="dxa"/>
          </w:tcPr>
          <w:p w:rsidR="003C3F43" w:rsidRDefault="00397FD7" w:rsidP="00DE73A8">
            <w:pPr>
              <w:rPr>
                <w:lang w:val="nl-NL"/>
              </w:rPr>
            </w:pPr>
            <w:r>
              <w:rPr>
                <w:lang w:val="nl-NL"/>
              </w:rPr>
              <w:t>1,2 – 0,3</w:t>
            </w:r>
          </w:p>
        </w:tc>
        <w:tc>
          <w:tcPr>
            <w:tcW w:w="4750" w:type="dxa"/>
          </w:tcPr>
          <w:p w:rsidR="003C3F43" w:rsidRDefault="00397FD7" w:rsidP="00DE73A8">
            <w:pPr>
              <w:rPr>
                <w:lang w:val="nl-NL"/>
              </w:rPr>
            </w:pPr>
            <w:r>
              <w:rPr>
                <w:lang w:val="nl-NL"/>
              </w:rPr>
              <w:t>4,2 – 1,6</w:t>
            </w:r>
          </w:p>
        </w:tc>
      </w:tr>
      <w:tr w:rsidR="003C3F43" w:rsidTr="003C3F43">
        <w:tc>
          <w:tcPr>
            <w:tcW w:w="4750" w:type="dxa"/>
          </w:tcPr>
          <w:p w:rsidR="003C3F43" w:rsidRDefault="00397FD7" w:rsidP="00DE73A8">
            <w:pPr>
              <w:rPr>
                <w:lang w:val="nl-NL"/>
              </w:rPr>
            </w:pPr>
            <w:r>
              <w:rPr>
                <w:lang w:val="nl-NL"/>
              </w:rPr>
              <w:t>1,2 – 3,4</w:t>
            </w:r>
          </w:p>
        </w:tc>
        <w:tc>
          <w:tcPr>
            <w:tcW w:w="4750" w:type="dxa"/>
          </w:tcPr>
          <w:p w:rsidR="003C3F43" w:rsidRDefault="00397FD7" w:rsidP="00DE73A8">
            <w:pPr>
              <w:rPr>
                <w:lang w:val="nl-NL"/>
              </w:rPr>
            </w:pPr>
            <w:r>
              <w:rPr>
                <w:lang w:val="nl-NL"/>
              </w:rPr>
              <w:t>2,2 – 1,4</w:t>
            </w:r>
          </w:p>
        </w:tc>
      </w:tr>
      <w:tr w:rsidR="00397FD7" w:rsidTr="003C3F43">
        <w:tc>
          <w:tcPr>
            <w:tcW w:w="4750" w:type="dxa"/>
          </w:tcPr>
          <w:p w:rsidR="00397FD7" w:rsidRDefault="00397FD7" w:rsidP="00DE73A8">
            <w:pPr>
              <w:rPr>
                <w:lang w:val="nl-NL"/>
              </w:rPr>
            </w:pPr>
            <w:r>
              <w:rPr>
                <w:lang w:val="nl-NL"/>
              </w:rPr>
              <w:t>1,2 – 1,2</w:t>
            </w:r>
          </w:p>
        </w:tc>
        <w:tc>
          <w:tcPr>
            <w:tcW w:w="4750" w:type="dxa"/>
          </w:tcPr>
          <w:p w:rsidR="00397FD7" w:rsidRDefault="00397FD7" w:rsidP="00DE73A8">
            <w:pPr>
              <w:rPr>
                <w:lang w:val="nl-NL"/>
              </w:rPr>
            </w:pPr>
            <w:r>
              <w:rPr>
                <w:lang w:val="nl-NL"/>
              </w:rPr>
              <w:t>6,9 – 12,6</w:t>
            </w:r>
          </w:p>
        </w:tc>
      </w:tr>
    </w:tbl>
    <w:p w:rsidR="003C3F43" w:rsidRDefault="00397FD7" w:rsidP="00DE73A8">
      <w:pPr>
        <w:rPr>
          <w:lang w:val="nl-NL"/>
        </w:rPr>
      </w:pPr>
      <w:r>
        <w:rPr>
          <w:lang w:val="nl-NL"/>
        </w:rPr>
        <w:t>Gemiddelde verschil:</w:t>
      </w:r>
    </w:p>
    <w:p w:rsidR="00397FD7" w:rsidRDefault="00397FD7" w:rsidP="00DE73A8">
      <w:pPr>
        <w:rPr>
          <w:lang w:val="nl-NL"/>
        </w:rPr>
      </w:pPr>
      <w:r>
        <w:rPr>
          <w:lang w:val="nl-NL"/>
        </w:rPr>
        <w:t>1,2 – 1,3 (links)</w:t>
      </w:r>
    </w:p>
    <w:p w:rsidR="00397FD7" w:rsidRDefault="00397FD7" w:rsidP="00DE73A8">
      <w:pPr>
        <w:rPr>
          <w:lang w:val="nl-NL"/>
        </w:rPr>
      </w:pPr>
      <w:r>
        <w:rPr>
          <w:lang w:val="nl-NL"/>
        </w:rPr>
        <w:t>4,4 – 4,5 (rechts)</w:t>
      </w:r>
    </w:p>
    <w:p w:rsidR="00397FD7" w:rsidRDefault="00397FD7" w:rsidP="00DE73A8">
      <w:pPr>
        <w:rPr>
          <w:lang w:val="nl-NL"/>
        </w:rPr>
      </w:pPr>
    </w:p>
    <w:p w:rsidR="00397FD7" w:rsidRDefault="00397FD7" w:rsidP="00DE73A8">
      <w:pPr>
        <w:rPr>
          <w:lang w:val="nl-NL"/>
        </w:rPr>
      </w:pPr>
      <w:r>
        <w:rPr>
          <w:lang w:val="nl-NL"/>
        </w:rPr>
        <w:t>Gemiddelde van rechts en links = 2,3 – 2,4</w:t>
      </w:r>
    </w:p>
    <w:p w:rsidR="00397FD7" w:rsidRDefault="00397FD7" w:rsidP="00DE73A8">
      <w:pPr>
        <w:rPr>
          <w:lang w:val="nl-NL"/>
        </w:rPr>
      </w:pPr>
      <w:r>
        <w:rPr>
          <w:lang w:val="nl-NL"/>
        </w:rPr>
        <w:t xml:space="preserve">Dit betekend dat de linkerbovenhoek gemiddeld 2X pixels  en 3Y pixels afwijkt van de standaard implementatie en de rechteronderhoek gemiddeld 2X pixels en 4Y pixels afwijkt. </w:t>
      </w:r>
    </w:p>
    <w:p w:rsidR="00397FD7" w:rsidRPr="00DE73A8" w:rsidRDefault="00397FD7" w:rsidP="00DE73A8">
      <w:pPr>
        <w:rPr>
          <w:lang w:val="nl-NL"/>
        </w:rPr>
      </w:pPr>
    </w:p>
    <w:p w:rsidR="00DE73A8" w:rsidRPr="00DE73A8" w:rsidRDefault="00DE73A8" w:rsidP="00DE73A8">
      <w:pPr>
        <w:pStyle w:val="Kop2"/>
        <w:rPr>
          <w:lang w:val="nl-NL"/>
        </w:rPr>
      </w:pPr>
      <w:r>
        <w:rPr>
          <w:lang w:val="nl-NL"/>
        </w:rPr>
        <w:lastRenderedPageBreak/>
        <w:t>C</w:t>
      </w:r>
      <w:r w:rsidRPr="00DE73A8">
        <w:rPr>
          <w:lang w:val="nl-NL"/>
        </w:rPr>
        <w:t>onclusie</w:t>
      </w:r>
    </w:p>
    <w:p w:rsidR="00DE73A8" w:rsidRPr="00DE73A8" w:rsidRDefault="00397FD7" w:rsidP="00DE73A8">
      <w:pPr>
        <w:rPr>
          <w:lang w:val="nl-NL"/>
        </w:rPr>
      </w:pPr>
      <w:r>
        <w:rPr>
          <w:lang w:val="nl-NL"/>
        </w:rPr>
        <w:t xml:space="preserve">Bij de meeste afbeelding zit onze implementatie redelijk dicht bij de ogen in de buurt, soms echter zitten er uitschieters bij die het oog niet detecteren of de linker of de rechterkant van het oog missen. </w:t>
      </w:r>
      <w:r w:rsidR="00853272">
        <w:rPr>
          <w:lang w:val="nl-NL"/>
        </w:rPr>
        <w:t xml:space="preserve">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397FD7" w:rsidP="00853272">
      <w:pPr>
        <w:rPr>
          <w:lang w:val="nl-NL"/>
        </w:rPr>
      </w:pPr>
      <w:r>
        <w:rPr>
          <w:lang w:val="nl-NL"/>
        </w:rPr>
        <w:t>Er zitten soms uitschieters bij, dit komt omdat de neus niet altijd op de juiste positie is gedetecteerd. Op het moment dat de neus niet juist gedetecteerd is kan met onze  implementatie bijzonder lastig de ogen gedetecteerd worden.</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86C19"/>
    <w:rsid w:val="000A57D3"/>
    <w:rsid w:val="00397FD7"/>
    <w:rsid w:val="003C3F43"/>
    <w:rsid w:val="005024E9"/>
    <w:rsid w:val="00701299"/>
    <w:rsid w:val="00853272"/>
    <w:rsid w:val="009A158D"/>
    <w:rsid w:val="00B36B9C"/>
    <w:rsid w:val="00BD4887"/>
    <w:rsid w:val="00D1234D"/>
    <w:rsid w:val="00DD1B16"/>
    <w:rsid w:val="00DE73A8"/>
    <w:rsid w:val="00F86533"/>
    <w:rsid w:val="00F9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20115B-0544-40B6-A65D-8B03156B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DD1B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A5E88-E394-42F1-8A26-6617B8F1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312</Words>
  <Characters>1717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Tijmen Bruggeman</cp:lastModifiedBy>
  <cp:revision>11</cp:revision>
  <dcterms:created xsi:type="dcterms:W3CDTF">2014-02-03T15:45:00Z</dcterms:created>
  <dcterms:modified xsi:type="dcterms:W3CDTF">2015-06-02T11:33:00Z</dcterms:modified>
</cp:coreProperties>
</file>