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Заполненный шаблон тестирования — материалы</w:t>
      </w:r>
    </w:p>
    <w:p>
      <w:r>
        <w:rPr/>
        <w:t xml:space="preserve">Документ содержит основные проверки для демонстрации приложения учёта материалов.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500" w:type="dxa"/>
          </w:tcPr>
          <w:p>
            <w:r>
              <w:rPr/>
              <w:t xml:space="preserve">ID</w:t>
            </w:r>
          </w:p>
        </w:tc>
        <w:tc>
          <w:tcPr>
            <w:tcW w:w="2500" w:type="dxa"/>
          </w:tcPr>
          <w:p>
            <w:r>
              <w:rPr/>
              <w:t xml:space="preserve">Сценарий</w:t>
            </w:r>
          </w:p>
        </w:tc>
        <w:tc>
          <w:tcPr>
            <w:tcW w:w="2500" w:type="dxa"/>
          </w:tcPr>
          <w:p>
            <w:r>
              <w:rPr/>
              <w:t xml:space="preserve">Ожидаемый результат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TC-01</w:t>
            </w:r>
          </w:p>
        </w:tc>
        <w:tc>
          <w:tcPr>
            <w:tcW w:w="2500" w:type="dxa"/>
          </w:tcPr>
          <w:p>
            <w:r>
              <w:rPr/>
              <w:t xml:space="preserve">Развёртывание базы</w:t>
            </w:r>
          </w:p>
        </w:tc>
        <w:tc>
          <w:tcPr>
            <w:tcW w:w="2500" w:type="dxa"/>
          </w:tcPr>
          <w:p>
            <w:r>
              <w:rPr/>
              <w:t xml:space="preserve">База создана и заполнена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TC-02</w:t>
            </w:r>
          </w:p>
        </w:tc>
        <w:tc>
          <w:tcPr>
            <w:tcW w:w="2500" w:type="dxa"/>
          </w:tcPr>
          <w:p>
            <w:r>
              <w:rPr/>
              <w:t xml:space="preserve">Открытие списка</w:t>
            </w:r>
          </w:p>
        </w:tc>
        <w:tc>
          <w:tcPr>
            <w:tcW w:w="2500" w:type="dxa"/>
          </w:tcPr>
          <w:p>
            <w:r>
              <w:rPr/>
              <w:t xml:space="preserve">Материалы загружены из SQL Server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TC-03</w:t>
            </w:r>
          </w:p>
        </w:tc>
        <w:tc>
          <w:tcPr>
            <w:tcW w:w="2500" w:type="dxa"/>
          </w:tcPr>
          <w:p>
            <w:r>
              <w:rPr/>
              <w:t xml:space="preserve">Поиск, фильтр, сортировка</w:t>
            </w:r>
          </w:p>
        </w:tc>
        <w:tc>
          <w:tcPr>
            <w:tcW w:w="2500" w:type="dxa"/>
          </w:tcPr>
          <w:p>
            <w:r>
              <w:rPr/>
              <w:t xml:space="preserve">Список изменяется согласно выбранным условиям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TC-04</w:t>
            </w:r>
          </w:p>
        </w:tc>
        <w:tc>
          <w:tcPr>
            <w:tcW w:w="2500" w:type="dxa"/>
          </w:tcPr>
          <w:p>
            <w:r>
              <w:rPr/>
              <w:t xml:space="preserve">Добавление и редактирование</w:t>
            </w:r>
          </w:p>
        </w:tc>
        <w:tc>
          <w:tcPr>
            <w:tcW w:w="2500" w:type="dxa"/>
          </w:tcPr>
          <w:p>
            <w:r>
              <w:rPr/>
              <w:t xml:space="preserve">Данные сохраняются в SQL Server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TC-05</w:t>
            </w:r>
          </w:p>
        </w:tc>
        <w:tc>
          <w:tcPr>
            <w:tcW w:w="2500" w:type="dxa"/>
          </w:tcPr>
          <w:p>
            <w:r>
              <w:rPr/>
              <w:t xml:space="preserve">Массовое изменение минимума</w:t>
            </w:r>
          </w:p>
        </w:tc>
        <w:tc>
          <w:tcPr>
            <w:tcW w:w="2500" w:type="dxa"/>
          </w:tcPr>
          <w:p>
            <w:r>
              <w:rPr/>
              <w:t xml:space="preserve">Обновляется MinCount и история остатков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TC-06</w:t>
            </w:r>
          </w:p>
        </w:tc>
        <w:tc>
          <w:tcPr>
            <w:tcW w:w="2500" w:type="dxa"/>
          </w:tcPr>
          <w:p>
            <w:r>
              <w:rPr/>
              <w:t xml:space="preserve">Удаление</w:t>
            </w:r>
          </w:p>
        </w:tc>
        <w:tc>
          <w:tcPr>
            <w:tcW w:w="2500" w:type="dxa"/>
          </w:tcPr>
          <w:p>
            <w:r>
              <w:rPr/>
              <w:t xml:space="preserve">Зависимости от продукции блокируют удаление</w:t>
            </w:r>
          </w:p>
        </w:tc>
      </w:tr>
    </w:tbl>
    <w:sectPr>
      <w:pgSz w:w="11906" w:h="16838"/>
      <w:pgMar w:top="1134" w:right="850" w:bottom="1134" w:left="850"/>
    </w:sectPr>
  </w:body>
</w:document>
</file>