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PAGADORIA DE PESSOAL DA MARINHA</w:t>
      </w:r>
    </w:p>
    <w:p>
      <w:pPr>
        <w:pStyle w:val="Normal"/>
        <w:jc w:val="center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DEPARTAMENTO DE INFORMÁTICA</w:t>
      </w:r>
    </w:p>
    <w:p>
      <w:pPr>
        <w:pStyle w:val="Normal"/>
        <w:jc w:val="center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DIVISÃO DE INFRAESTRUTURA E PRODUÇÃO</w:t>
      </w:r>
    </w:p>
    <w:p>
      <w:pPr>
        <w:pStyle w:val="Normal"/>
        <w:jc w:val="center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  <w:u w:val="single"/>
        </w:rPr>
        <w:t>PLANO DE AÇÃO DE ATUALIZAÇÃO/MODERNIZAÇÃO DOS SISTEMAS ELM, SISIMAGEM, SISPAG E SISRES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1. REFERÊNCIAS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A) Relatório de Governança e Gestão de Risco para o Exadata, Anexo </w:t>
      </w:r>
      <w:r>
        <w:rPr>
          <w:rFonts w:cs="Calibri" w:cstheme="minorHAnsi"/>
          <w:sz w:val="24"/>
          <w:szCs w:val="24"/>
          <w:u w:val="single"/>
        </w:rPr>
        <w:t>A</w:t>
      </w:r>
      <w:r>
        <w:rPr>
          <w:rFonts w:cs="Calibri" w:cstheme="minorHAnsi"/>
          <w:sz w:val="24"/>
          <w:szCs w:val="24"/>
        </w:rPr>
        <w:t>, do Of nº 134/2025, da DCTIM; e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>B) R-081122Z/AGO/2025, da SGM.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2. SISTEMA IBM </w:t>
      </w:r>
      <w:r>
        <w:rPr>
          <w:rFonts w:cs="Calibri" w:cstheme="minorHAnsi"/>
          <w:b/>
          <w:i/>
          <w:iCs/>
          <w:sz w:val="24"/>
          <w:szCs w:val="24"/>
        </w:rPr>
        <w:t>Engineering Lifecycle Management</w:t>
      </w:r>
      <w:r>
        <w:rPr>
          <w:rFonts w:cs="Calibri" w:cstheme="minorHAnsi"/>
          <w:b/>
          <w:sz w:val="24"/>
          <w:szCs w:val="24"/>
        </w:rPr>
        <w:t xml:space="preserve"> (IBM ELM):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2.1 ESCOPO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ab/>
      </w:r>
      <w:r>
        <w:rPr>
          <w:rFonts w:cs="Calibri" w:cstheme="minorHAnsi"/>
          <w:sz w:val="24"/>
          <w:szCs w:val="24"/>
        </w:rPr>
        <w:t xml:space="preserve">Acordo a referência </w:t>
      </w:r>
      <w:r>
        <w:rPr>
          <w:rFonts w:cs="Calibri" w:cstheme="minorHAnsi"/>
          <w:sz w:val="24"/>
          <w:szCs w:val="24"/>
          <w:u w:val="single"/>
        </w:rPr>
        <w:t>A</w:t>
      </w:r>
      <w:r>
        <w:rPr>
          <w:rFonts w:cs="Calibri" w:cstheme="minorHAnsi"/>
          <w:sz w:val="24"/>
          <w:szCs w:val="24"/>
        </w:rPr>
        <w:t xml:space="preserve">, por apresentar compatibilidade com a versão 23ai do Oracle </w:t>
      </w:r>
      <w:r>
        <w:rPr>
          <w:rFonts w:cs="Calibri" w:cstheme="minorHAnsi"/>
          <w:i/>
          <w:iCs/>
          <w:sz w:val="24"/>
          <w:szCs w:val="24"/>
        </w:rPr>
        <w:t>Exadata Cloud at Customer</w:t>
      </w:r>
      <w:r>
        <w:rPr>
          <w:rFonts w:cs="Calibri" w:cstheme="minorHAnsi"/>
          <w:sz w:val="24"/>
          <w:szCs w:val="24"/>
        </w:rPr>
        <w:t xml:space="preserve"> (ExaCC), o IBM ELM encontra-se em situação de risco médio.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2.2 </w:t>
      </w:r>
      <w:r>
        <w:rPr>
          <w:rFonts w:cs="Calibri" w:cstheme="minorHAnsi"/>
          <w:b/>
          <w:bCs/>
          <w:sz w:val="24"/>
          <w:szCs w:val="24"/>
        </w:rPr>
        <w:t>CRONOGRAMA DE TRABALHO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  <w:t xml:space="preserve">Conforme a tela abaixo, a atualização tecnológica do </w:t>
      </w:r>
      <w:r>
        <w:rPr>
          <w:rFonts w:cs="Calibri" w:cstheme="minorHAnsi"/>
          <w:b w:val="false"/>
          <w:bCs w:val="false"/>
          <w:sz w:val="24"/>
          <w:szCs w:val="24"/>
        </w:rPr>
        <w:t>IBM ELM encontra-se no</w:t>
      </w:r>
      <w:r>
        <w:rPr>
          <w:rFonts w:cs="Calibri" w:cstheme="minorHAnsi"/>
          <w:b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grau obsoleto.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/>
        <w:drawing>
          <wp:inline distT="0" distB="0" distL="0" distR="0">
            <wp:extent cx="5934075" cy="2800350"/>
            <wp:effectExtent l="0" t="0" r="0" b="0"/>
            <wp:docPr id="1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  <w:t>Neste caso, a PAPEM adotará o seguinte cronograma estimativo para atualização/modernização do sistema:</w:t>
      </w:r>
    </w:p>
    <w:tbl>
      <w:tblPr>
        <w:tblW w:w="934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79"/>
        <w:gridCol w:w="8268"/>
      </w:tblGrid>
      <w:tr>
        <w:trPr>
          <w:tblHeader w:val="true"/>
        </w:trPr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DATA LIMITE</w:t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</w:tr>
      <w:tr>
        <w:trPr/>
        <w:tc>
          <w:tcPr>
            <w:tcW w:w="10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SET2025</w:t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Definição de escopo detalhado (software cliente, SO, servidor aplicação)</w:t>
            </w:r>
          </w:p>
        </w:tc>
      </w:tr>
      <w:tr>
        <w:trPr/>
        <w:tc>
          <w:tcPr>
            <w:tcW w:w="107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Planejamento da atualização (definição de cronograma técnico) e criação de ambiente de homologação</w:t>
            </w:r>
          </w:p>
        </w:tc>
      </w:tr>
      <w:tr>
        <w:trPr/>
        <w:tc>
          <w:tcPr>
            <w:tcW w:w="10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>OUT2025</w:t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Testes de compatibilidade em ambiente de homologação</w:t>
            </w:r>
          </w:p>
        </w:tc>
      </w:tr>
      <w:tr>
        <w:trPr/>
        <w:tc>
          <w:tcPr>
            <w:tcW w:w="107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Ajustes identificados nos testes</w:t>
            </w:r>
          </w:p>
        </w:tc>
      </w:tr>
      <w:tr>
        <w:trPr/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>NOV2025</w:t>
            </w:r>
          </w:p>
        </w:tc>
        <w:tc>
          <w:tcPr>
            <w:tcW w:w="8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Aprovação final e agendamento da execução de substituição de ambiente</w:t>
            </w:r>
          </w:p>
        </w:tc>
      </w:tr>
    </w:tbl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2.3 CUSTO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ab/>
      </w:r>
      <w:r>
        <w:rPr>
          <w:rFonts w:cs="Calibri" w:cstheme="minorHAnsi"/>
          <w:sz w:val="24"/>
          <w:szCs w:val="24"/>
        </w:rPr>
        <w:t xml:space="preserve">A PAPEM firmou contrato com a empresa </w:t>
      </w:r>
      <w:r>
        <w:rPr>
          <w:rFonts w:cs="Calibri" w:cstheme="minorHAnsi"/>
          <w:i/>
          <w:iCs/>
          <w:sz w:val="24"/>
          <w:szCs w:val="24"/>
        </w:rPr>
        <w:t>PRIME UP</w:t>
      </w:r>
      <w:r>
        <w:rPr>
          <w:rFonts w:cs="Calibri" w:cstheme="minorHAnsi"/>
          <w:sz w:val="24"/>
          <w:szCs w:val="24"/>
        </w:rPr>
        <w:t xml:space="preserve">, cujo objeto é a prestação de serviços de sustentação e configuração de ambiente computacional do IBM ELM, durante o período de 2 anos (2025-2026), ao custo total de R$ 427.937,24. Esse contrato, dentre outras vantagens, permitirá a atualização do sistema.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3. SISTEMA SISIMAGEM: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3.1 ESCOPO</w:t>
      </w:r>
    </w:p>
    <w:p>
      <w:pPr>
        <w:pStyle w:val="Normal"/>
        <w:ind w:firstLine="709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Acordo a referência </w:t>
      </w:r>
      <w:r>
        <w:rPr>
          <w:rFonts w:cs="Calibri" w:cstheme="minorHAnsi"/>
          <w:sz w:val="24"/>
          <w:szCs w:val="24"/>
          <w:u w:val="single"/>
        </w:rPr>
        <w:t>A</w:t>
      </w:r>
      <w:r>
        <w:rPr>
          <w:rFonts w:cs="Calibri" w:cstheme="minorHAnsi"/>
          <w:sz w:val="24"/>
          <w:szCs w:val="24"/>
        </w:rPr>
        <w:t>, por apresentar compatibilidade com a versão 23ai do ExaCC, o SISIMAGEM encontra-se em situação de risco baixo.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3.2 </w:t>
      </w:r>
      <w:r>
        <w:rPr>
          <w:rFonts w:cs="Calibri" w:cstheme="minorHAnsi"/>
          <w:b/>
          <w:bCs/>
          <w:sz w:val="24"/>
          <w:szCs w:val="24"/>
        </w:rPr>
        <w:t>CRONOGRAMA DE TRABALHO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Calibri" w:cstheme="minorHAnsi"/>
          <w:sz w:val="24"/>
          <w:szCs w:val="24"/>
        </w:rPr>
        <w:tab/>
      </w:r>
      <w:r>
        <w:rPr>
          <w:rStyle w:val="Strong"/>
          <w:rFonts w:cs="Calibri" w:cstheme="minorHAnsi"/>
          <w:b w:val="false"/>
          <w:sz w:val="24"/>
          <w:szCs w:val="24"/>
        </w:rPr>
        <w:t>Conforme a tela abaixo, a atualização tecnológica do SISIMAGEM</w:t>
      </w:r>
      <w:r>
        <w:rPr>
          <w:rStyle w:val="Strong"/>
          <w:rFonts w:cs="Calibri" w:cstheme="minorHAnsi"/>
          <w:b w:val="false"/>
          <w:bCs w:val="false"/>
          <w:sz w:val="24"/>
          <w:szCs w:val="24"/>
        </w:rPr>
        <w:t xml:space="preserve"> encontra-se no</w:t>
      </w:r>
      <w:r>
        <w:rPr>
          <w:rStyle w:val="Strong"/>
          <w:rFonts w:cs="Calibri" w:cstheme="minorHAnsi"/>
          <w:b/>
          <w:sz w:val="24"/>
          <w:szCs w:val="24"/>
        </w:rPr>
        <w:t xml:space="preserve"> </w:t>
      </w:r>
      <w:r>
        <w:rPr>
          <w:rStyle w:val="Strong"/>
          <w:rFonts w:cs="Calibri" w:cstheme="minorHAnsi"/>
          <w:b w:val="false"/>
          <w:sz w:val="24"/>
          <w:szCs w:val="24"/>
        </w:rPr>
        <w:t>grau desatualizado.</w:t>
      </w:r>
    </w:p>
    <w:p>
      <w:pPr>
        <w:pStyle w:val="Normal"/>
        <w:spacing w:lineRule="auto" w:line="240" w:before="0" w:after="0"/>
        <w:ind w:firstLine="709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123825</wp:posOffset>
            </wp:positionH>
            <wp:positionV relativeFrom="paragraph">
              <wp:posOffset>76200</wp:posOffset>
            </wp:positionV>
            <wp:extent cx="5692140" cy="284543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9"/>
        <w:jc w:val="both"/>
        <w:rPr>
          <w:rFonts w:ascii="Calibri" w:hAnsi="Calibri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sz w:val="24"/>
          <w:szCs w:val="24"/>
        </w:rPr>
        <w:t>Considerando o custo-benefício da atualização da atual versão do sistema,</w:t>
      </w:r>
      <w:r>
        <w:rPr>
          <w:rStyle w:val="Strong"/>
          <w:b w:val="false"/>
          <w:bCs w:val="false"/>
          <w:sz w:val="24"/>
          <w:szCs w:val="24"/>
        </w:rPr>
        <w:t xml:space="preserve"> há duas LA a seguir: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0" w:right="0" w:hanging="0"/>
        <w:jc w:val="both"/>
        <w:rPr/>
      </w:pPr>
      <w:r>
        <w:rPr>
          <w:rStyle w:val="Strong"/>
          <w:sz w:val="24"/>
          <w:szCs w:val="24"/>
        </w:rPr>
        <w:tab/>
        <w:t>LA 1:</w:t>
      </w:r>
      <w:r>
        <w:rPr>
          <w:rStyle w:val="Strong"/>
          <w:b w:val="false"/>
          <w:bCs w:val="false"/>
          <w:sz w:val="24"/>
          <w:szCs w:val="24"/>
        </w:rPr>
        <w:t xml:space="preserve"> Estudar a viabilidade de adotar a sistemática, </w:t>
      </w:r>
      <w:r>
        <w:rPr>
          <w:rStyle w:val="Strong"/>
          <w:rFonts w:cs="Calibri" w:cstheme="minorHAnsi"/>
          <w:b w:val="false"/>
          <w:bCs w:val="false"/>
          <w:sz w:val="24"/>
          <w:szCs w:val="24"/>
        </w:rPr>
        <w:t>desenvolvida pela Diretoria do Pessoal da Marinha (DPM),</w:t>
      </w:r>
      <w:r>
        <w:rPr>
          <w:rStyle w:val="Strong"/>
          <w:b w:val="false"/>
          <w:bCs w:val="false"/>
          <w:sz w:val="24"/>
          <w:szCs w:val="24"/>
        </w:rPr>
        <w:t xml:space="preserve"> de processamento de documentos administrativos, no formato digital; ou</w:t>
      </w:r>
    </w:p>
    <w:p>
      <w:pPr>
        <w:pStyle w:val="Normal"/>
        <w:spacing w:lineRule="auto" w:line="240" w:before="0" w:after="0"/>
        <w:ind w:left="708" w:hanging="0"/>
        <w:jc w:val="bot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>
          <w:rStyle w:val="Strong"/>
          <w:sz w:val="24"/>
          <w:szCs w:val="24"/>
        </w:rPr>
        <w:t>LA 2:</w:t>
      </w:r>
      <w:r>
        <w:rPr>
          <w:rStyle w:val="Strong"/>
          <w:b w:val="false"/>
          <w:bCs w:val="false"/>
          <w:sz w:val="24"/>
          <w:szCs w:val="24"/>
        </w:rPr>
        <w:t xml:space="preserve"> Desenvolver novo sistema, conforme o </w:t>
      </w:r>
      <w:r>
        <w:rPr>
          <w:rStyle w:val="Strong"/>
          <w:rFonts w:cs="Calibri" w:cstheme="minorHAnsi"/>
          <w:b w:val="false"/>
          <w:sz w:val="24"/>
          <w:szCs w:val="24"/>
        </w:rPr>
        <w:t>seguinte cronograma estimativo</w:t>
      </w:r>
      <w:r>
        <w:rPr>
          <w:rStyle w:val="Strong"/>
          <w:rFonts w:cs="Calibri" w:cstheme="minorHAnsi"/>
          <w:b w:val="false"/>
          <w:bCs w:val="false"/>
          <w:sz w:val="24"/>
          <w:szCs w:val="24"/>
        </w:rPr>
        <w:t>:</w:t>
      </w:r>
    </w:p>
    <w:tbl>
      <w:tblPr>
        <w:tblW w:w="935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131"/>
        <w:gridCol w:w="9"/>
        <w:gridCol w:w="3278"/>
        <w:gridCol w:w="4937"/>
      </w:tblGrid>
      <w:tr>
        <w:trPr>
          <w:tblHeader w:val="true"/>
        </w:trPr>
        <w:tc>
          <w:tcPr>
            <w:tcW w:w="11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DATA LIMITE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>
        <w:trPr/>
        <w:tc>
          <w:tcPr>
            <w:tcW w:w="114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OUT2025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Análise e Levantamento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Revisão de Processos:</w:t>
            </w:r>
            <w:r>
              <w:rPr>
                <w:rFonts w:cs="Calibri" w:cstheme="minorHAnsi"/>
                <w:sz w:val="24"/>
                <w:szCs w:val="24"/>
              </w:rPr>
              <w:t xml:space="preserve"> Mapeamento completo dos fluxos de trabalho atuais do sistema.</w:t>
            </w:r>
          </w:p>
        </w:tc>
      </w:tr>
      <w:tr>
        <w:trPr/>
        <w:tc>
          <w:tcPr>
            <w:tcW w:w="1140" w:type="dxa"/>
            <w:gridSpan w:val="2"/>
            <w:vMerge w:val="continue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Levantamento de Requisitos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Requisitos Funcionais:</w:t>
            </w:r>
            <w:r>
              <w:rPr>
                <w:rFonts w:cs="Calibri" w:cstheme="minorHAnsi"/>
                <w:sz w:val="24"/>
                <w:szCs w:val="24"/>
              </w:rPr>
              <w:t xml:space="preserve"> Delinear novas funcionalidades necessárias e aprimorar as existentes; e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Requisitos Não Funcionais:</w:t>
            </w:r>
            <w:r>
              <w:rPr>
                <w:rFonts w:cs="Calibri" w:cstheme="minorHAnsi"/>
                <w:sz w:val="24"/>
                <w:szCs w:val="24"/>
              </w:rPr>
              <w:t xml:space="preserve"> Definir critérios de desempenho, segurança, usabilidade e escalabilidade para o sistema modernizado</w:t>
            </w:r>
          </w:p>
        </w:tc>
      </w:tr>
      <w:tr>
        <w:trPr/>
        <w:tc>
          <w:tcPr>
            <w:tcW w:w="1140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Análise de Viabilidade Técnica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- Avaliação preliminar das tecnologias (linguagens, frameworks, bancos de dados – possibilidade de migrar do Oracle para o PostgreSQL) que podem ser utilizadas na modernização.</w:t>
            </w:r>
          </w:p>
        </w:tc>
      </w:tr>
      <w:tr>
        <w:trPr/>
        <w:tc>
          <w:tcPr>
            <w:tcW w:w="11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JAN2026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Estratégia e Planejamento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Elaboração de Modelos;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Definição da Arquitetura; e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Plano de Atualização Tecnológica.</w:t>
            </w:r>
          </w:p>
        </w:tc>
      </w:tr>
      <w:tr>
        <w:trPr/>
        <w:tc>
          <w:tcPr>
            <w:tcW w:w="11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MAR2026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Elaboração do Plano de Modernização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Documentação do Plano; e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Validação e Aprovação. </w:t>
            </w:r>
          </w:p>
        </w:tc>
      </w:tr>
      <w:tr>
        <w:trPr/>
        <w:tc>
          <w:tcPr>
            <w:tcW w:w="11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ABR2026</w:t>
            </w:r>
          </w:p>
        </w:tc>
        <w:tc>
          <w:tcPr>
            <w:tcW w:w="3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Desenvolvimento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Construção das funcionalidades do SISIMAGEM, conforme requisitos validados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AGO2026</w:t>
            </w:r>
          </w:p>
        </w:tc>
        <w:tc>
          <w:tcPr>
            <w:tcW w:w="32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Testes Integrados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- Execução de testes funcionais, de desempenho e de segurança.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  <w:t>SET2026</w:t>
            </w:r>
          </w:p>
        </w:tc>
        <w:tc>
          <w:tcPr>
            <w:tcW w:w="32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Homologação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Validação com usuários-chave e ajustes finais.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sz w:val="24"/>
                <w:szCs w:val="24"/>
                <w:lang w:eastAsia="pt-BR"/>
              </w:rPr>
              <w:t>NOV2026</w:t>
            </w:r>
          </w:p>
        </w:tc>
        <w:tc>
          <w:tcPr>
            <w:tcW w:w="32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Implementação</w:t>
            </w:r>
          </w:p>
        </w:tc>
        <w:tc>
          <w:tcPr>
            <w:tcW w:w="4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Migração, entrada em produção e acompanhamento inicial</w:t>
            </w:r>
          </w:p>
        </w:tc>
      </w:tr>
    </w:tbl>
    <w:p>
      <w:pPr>
        <w:pStyle w:val="Normal"/>
        <w:jc w:val="both"/>
        <w:rPr>
          <w:rFonts w:ascii="Calibri" w:hAnsi="Calibri"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ab/>
        <w:t xml:space="preserve">OBS: </w:t>
      </w:r>
      <w:r>
        <w:rPr>
          <w:rFonts w:cs="Calibri" w:cstheme="minorHAnsi"/>
          <w:sz w:val="24"/>
          <w:szCs w:val="24"/>
        </w:rPr>
        <w:t xml:space="preserve">A LA mais exequível será definida tão logo sejam obtidas, da DPM, as informações sobre a LA 1.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3.3 CUSTO</w:t>
      </w:r>
    </w:p>
    <w:p>
      <w:pPr>
        <w:pStyle w:val="Normal"/>
        <w:ind w:firstLine="709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Sem custos extras para a MB, pois caso seja adotada a LA 2, esta será executada por técnicos de bordo (Departamento de Gestão de Tecnologia da Informação). </w:t>
      </w:r>
    </w:p>
    <w:p>
      <w:pPr>
        <w:pStyle w:val="Normal"/>
        <w:jc w:val="both"/>
        <w:rPr>
          <w:rFonts w:cs="Calibri" w:cs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Normal"/>
        <w:jc w:val="both"/>
        <w:rPr>
          <w:rFonts w:cs="Calibri" w:cs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4. SISTEMA SISPAG: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4.1 ESCOPO</w:t>
      </w:r>
    </w:p>
    <w:p>
      <w:pPr>
        <w:pStyle w:val="Normal"/>
        <w:ind w:firstLine="709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Acordo a referência </w:t>
      </w:r>
      <w:r>
        <w:rPr>
          <w:rFonts w:cs="Calibri" w:cstheme="minorHAnsi"/>
          <w:sz w:val="24"/>
          <w:szCs w:val="24"/>
          <w:u w:val="single"/>
        </w:rPr>
        <w:t>A</w:t>
      </w:r>
      <w:r>
        <w:rPr>
          <w:rFonts w:cs="Calibri" w:cstheme="minorHAnsi"/>
          <w:sz w:val="24"/>
          <w:szCs w:val="24"/>
        </w:rPr>
        <w:t>, por apresentar compatibilidade com a versão 23ai do ExaCC, o SISPAG encontra-se em situação de risco médio.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264795</wp:posOffset>
            </wp:positionH>
            <wp:positionV relativeFrom="paragraph">
              <wp:posOffset>490220</wp:posOffset>
            </wp:positionV>
            <wp:extent cx="5306695" cy="2834640"/>
            <wp:effectExtent l="0" t="0" r="0" b="0"/>
            <wp:wrapTopAndBottom/>
            <wp:docPr id="3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cstheme="minorHAnsi"/>
          <w:sz w:val="24"/>
          <w:szCs w:val="24"/>
        </w:rPr>
        <w:tab/>
        <w:t>Conforme a tela abaixo, a atualização tecnológica do SISPAG encontra-se no grau  desatualizado.</w:t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4.2 </w:t>
      </w:r>
      <w:r>
        <w:rPr>
          <w:rFonts w:cs="Calibri" w:cstheme="minorHAnsi"/>
          <w:b/>
          <w:bCs/>
          <w:sz w:val="24"/>
          <w:szCs w:val="24"/>
        </w:rPr>
        <w:t>CRONOGRAMA DE TRABALHO</w:t>
      </w:r>
    </w:p>
    <w:p>
      <w:pPr>
        <w:pStyle w:val="Normal"/>
        <w:spacing w:lineRule="auto" w:line="240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ab/>
      </w:r>
      <w:r>
        <w:rPr>
          <w:rFonts w:cs="Calibri" w:cstheme="minorHAnsi"/>
          <w:b w:val="false"/>
          <w:bCs w:val="false"/>
          <w:sz w:val="24"/>
          <w:szCs w:val="24"/>
        </w:rPr>
        <w:t>A PAPEM adotará o seguinte cronograma estimativo para atualização/modernização dos componentes abaixo:</w:t>
      </w:r>
    </w:p>
    <w:p>
      <w:pPr>
        <w:pStyle w:val="Normal"/>
        <w:spacing w:lineRule="auto" w:line="240" w:before="0" w:after="0"/>
        <w:ind w:left="708"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- Software Cliente (</w:t>
      </w:r>
      <w:r>
        <w:rPr>
          <w:rFonts w:cs="Calibri" w:cstheme="minorHAnsi"/>
          <w:sz w:val="24"/>
          <w:szCs w:val="24"/>
        </w:rPr>
        <w:t>Oracle JDBC 6 para a versão 17);</w:t>
      </w:r>
    </w:p>
    <w:p>
      <w:pPr>
        <w:pStyle w:val="Normal"/>
        <w:spacing w:lineRule="auto" w:line="240" w:before="0" w:after="0"/>
        <w:ind w:left="708"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- Servidor de Aplicação (JBOSS, versão 7.2 para 8.0); e</w:t>
      </w:r>
    </w:p>
    <w:p>
      <w:pPr>
        <w:pStyle w:val="Normal"/>
        <w:spacing w:lineRule="auto" w:line="240" w:before="0" w:after="0"/>
        <w:ind w:left="708" w:hanging="0"/>
        <w:jc w:val="both"/>
        <w:rPr>
          <w:rFonts w:ascii="Calibri" w:hAnsi="Calibri" w:cs="Calibri" w:cstheme="minorHAnsi"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- </w:t>
      </w:r>
      <w:r>
        <w:rPr>
          <w:rFonts w:cs="Calibri" w:cstheme="minorHAnsi"/>
          <w:sz w:val="24"/>
          <w:szCs w:val="24"/>
        </w:rPr>
        <w:t>Linguagem de Programação (Migração do Java 8 para Java 21-LTS).</w:t>
      </w:r>
    </w:p>
    <w:p>
      <w:pPr>
        <w:pStyle w:val="Normal"/>
        <w:spacing w:lineRule="auto" w:line="240" w:before="0" w:after="0"/>
        <w:ind w:hanging="0"/>
        <w:jc w:val="both"/>
        <w:rPr>
          <w:rFonts w:ascii="Calibri" w:hAnsi="Calibri"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979"/>
        <w:gridCol w:w="2835"/>
        <w:gridCol w:w="4546"/>
      </w:tblGrid>
      <w:tr>
        <w:trPr>
          <w:tblHeader w:val="true"/>
        </w:trPr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INÍCIO-TÉRMINO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JAN-MAR2026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Planejamento e Análise de Impacto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sz w:val="24"/>
                <w:szCs w:val="24"/>
              </w:rPr>
              <w:t>-</w:t>
            </w: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 xml:space="preserve"> Início do Projeto;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>- Análise de Dependências;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>- Estudo de Compatibilidade;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="Calibri" w:cstheme="minorHAnsi"/>
                <w:bCs/>
                <w:sz w:val="24"/>
                <w:szCs w:val="24"/>
                <w:lang w:eastAsia="pt-BR"/>
              </w:rPr>
              <w:t xml:space="preserve">- Definição da Arquitetura. 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MAR-ABR2026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tulo4"/>
              <w:widowControl w:val="false"/>
              <w:spacing w:before="0" w:after="280"/>
              <w:jc w:val="both"/>
              <w:rPr>
                <w:rFonts w:ascii="Calibri" w:hAnsi="Calibri" w:cs="Calibri"/>
                <w:b w:val="false"/>
                <w:b w:val="false"/>
                <w:sz w:val="24"/>
                <w:szCs w:val="24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sz w:val="24"/>
                <w:szCs w:val="24"/>
              </w:rPr>
              <w:t>Configuração do Ambiente e Instalação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 w:cstheme="minorHAns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 xml:space="preserve">- </w:t>
            </w:r>
            <w:r>
              <w:rPr>
                <w:rFonts w:cs="Calibri" w:cstheme="minorHAnsi"/>
                <w:bCs/>
                <w:sz w:val="24"/>
                <w:szCs w:val="24"/>
              </w:rPr>
              <w:t>Criação do Ambiente de Homologação;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Instalação e Configuração;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Validação do Fabricante (Red Hat). 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MAI-DEZ2026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Inicio de Migração do Código e Testes Iniciais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 xml:space="preserve">- </w:t>
            </w:r>
            <w:r>
              <w:rPr>
                <w:rFonts w:cs="Calibri" w:cstheme="minorHAnsi"/>
                <w:bCs/>
                <w:sz w:val="24"/>
                <w:szCs w:val="24"/>
              </w:rPr>
              <w:t xml:space="preserve">Migração do Código-Fonte;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Testes de Funcionalidade; e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Testes de Integração.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JAN-MAR2027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Conclusão de Migração do Código e Testes Iniciais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 xml:space="preserve">- </w:t>
            </w:r>
            <w:r>
              <w:rPr>
                <w:rFonts w:cs="Calibri" w:cstheme="minorHAnsi"/>
                <w:bCs/>
                <w:sz w:val="24"/>
                <w:szCs w:val="24"/>
              </w:rPr>
              <w:t xml:space="preserve">Migração do Código-Fonte;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Testes de Funcionalidade; e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Testes de Integração.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MAR-MAI2027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Testes de Regressão e Desempenho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Testes de Regressão;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Testes de Desempenho e Carga;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sz w:val="24"/>
                <w:szCs w:val="24"/>
              </w:rPr>
              <w:t xml:space="preserve">- Otimização. 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JUN-AGO2027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Testes de Aceitação do Usuário (UAT) e Plano de Rollback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UAT;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Plano de Contingência. </w:t>
            </w:r>
          </w:p>
        </w:tc>
      </w:tr>
      <w:tr>
        <w:trPr/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SET-DEZ2027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Implantação em Produção e Acompanhamento</w:t>
            </w:r>
          </w:p>
        </w:tc>
        <w:tc>
          <w:tcPr>
            <w:tcW w:w="4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Implantação em Produção;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Verificação Pós-Implantação;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Acompanhamento e Suporte.</w:t>
            </w:r>
          </w:p>
        </w:tc>
      </w:tr>
    </w:tbl>
    <w:p>
      <w:pPr>
        <w:pStyle w:val="Normal"/>
        <w:ind w:hanging="0"/>
        <w:jc w:val="both"/>
        <w:rPr>
          <w:rFonts w:ascii="Calibri" w:hAnsi="Calibri"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ab/>
        <w:t>OBS.: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Em decorrência da MSG </w:t>
      </w:r>
      <w:r>
        <w:rPr>
          <w:sz w:val="24"/>
          <w:szCs w:val="24"/>
        </w:rPr>
        <w:t xml:space="preserve">R-012013Z/NOV/2024, do Centro de Tecnologia da Informação da Marinha, que trata sobre o encerramento do suporte ao Sistema Operacional (SO) Oracle Linux versão 7, a Pagadoria iniciou o processo de migração para a nova versão 9.4.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4.3 CUSTO</w:t>
      </w:r>
    </w:p>
    <w:p>
      <w:pPr>
        <w:pStyle w:val="Normal"/>
        <w:ind w:firstLine="993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O custo dessas atualizações técnicas será absorvido pelo serviço prestado pela empresa contrata para sustentação do SISPAG, observado o teto autorizado no PA.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5. SISTEMA DE RESPONSABILIDADE (SISRES): 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5.1 ESCOPO</w:t>
      </w:r>
    </w:p>
    <w:p>
      <w:pPr>
        <w:pStyle w:val="Normal"/>
        <w:ind w:firstLine="709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Acordo a referência </w:t>
      </w:r>
      <w:r>
        <w:rPr>
          <w:rFonts w:cs="Calibri" w:cstheme="minorHAnsi"/>
          <w:sz w:val="24"/>
          <w:szCs w:val="24"/>
          <w:u w:val="single"/>
        </w:rPr>
        <w:t>A</w:t>
      </w:r>
      <w:r>
        <w:rPr>
          <w:rFonts w:cs="Calibri" w:cstheme="minorHAnsi"/>
          <w:sz w:val="24"/>
          <w:szCs w:val="24"/>
        </w:rPr>
        <w:t>, por apresentar compatibilidade com a versão 23ai do ExaCC, o SISRES encontra-se em situação de risco baixo.</w:t>
      </w:r>
    </w:p>
    <w:p>
      <w:pPr>
        <w:pStyle w:val="Normal"/>
        <w:jc w:val="both"/>
        <w:rPr/>
      </w:pPr>
      <w:r>
        <w:rPr>
          <w:rFonts w:cs="Calibri" w:cstheme="minorHAnsi"/>
          <w:sz w:val="24"/>
          <w:szCs w:val="24"/>
        </w:rPr>
        <w:tab/>
        <w:t xml:space="preserve">Conforme a tela abaixo, a atualização tecnológica do SISRES </w:t>
      </w:r>
      <w:r>
        <w:rPr>
          <w:rStyle w:val="Strong"/>
          <w:rFonts w:cs="Calibri" w:cstheme="minorHAnsi"/>
          <w:b w:val="false"/>
          <w:bCs w:val="false"/>
          <w:sz w:val="24"/>
          <w:szCs w:val="24"/>
        </w:rPr>
        <w:t>encontra-se no</w:t>
      </w:r>
      <w:r>
        <w:rPr>
          <w:rStyle w:val="Strong"/>
          <w:rFonts w:cs="Calibri" w:cstheme="minorHAnsi"/>
          <w:b/>
          <w:sz w:val="24"/>
          <w:szCs w:val="24"/>
        </w:rPr>
        <w:t xml:space="preserve"> </w:t>
      </w:r>
      <w:r>
        <w:rPr>
          <w:rStyle w:val="Strong"/>
          <w:rFonts w:cs="Calibri" w:cstheme="minorHAnsi"/>
          <w:b w:val="false"/>
          <w:sz w:val="24"/>
          <w:szCs w:val="24"/>
        </w:rPr>
        <w:t xml:space="preserve">grau </w:t>
      </w:r>
      <w:r>
        <w:rPr>
          <w:rFonts w:cs="Calibri" w:cstheme="minorHAnsi"/>
          <w:sz w:val="24"/>
          <w:szCs w:val="24"/>
        </w:rPr>
        <w:t>desatualizado.</w:t>
      </w:r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/>
        <w:drawing>
          <wp:inline distT="0" distB="0" distL="0" distR="0">
            <wp:extent cx="5847715" cy="2990215"/>
            <wp:effectExtent l="0" t="0" r="0" b="0"/>
            <wp:docPr id="4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ind w:hanging="0"/>
        <w:jc w:val="both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ind w:hanging="0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5.2 CRONOGRAMA DE TRABALHO</w:t>
      </w:r>
    </w:p>
    <w:p>
      <w:pPr>
        <w:pStyle w:val="Normal"/>
        <w:ind w:hanging="0"/>
        <w:jc w:val="both"/>
        <w:rPr/>
      </w:pPr>
      <w:r>
        <w:rPr>
          <w:sz w:val="24"/>
          <w:szCs w:val="24"/>
        </w:rPr>
        <w:tab/>
        <w:t xml:space="preserve">Considerando o término do ciclo de vida do SISRES, em virtude de sua substituição pelo  Sistema de Acompanhamento de Danos ao Erário (SISADE), encontra-se em análise a </w:t>
      </w:r>
      <w:r>
        <w:rPr>
          <w:rStyle w:val="Strong"/>
          <w:b w:val="false"/>
          <w:sz w:val="24"/>
          <w:szCs w:val="24"/>
        </w:rPr>
        <w:t>incorporação, no SISPAG, de funcionalidade de consulta dos dados históricos pelas Organizações Centralizadoras.</w:t>
      </w:r>
    </w:p>
    <w:p>
      <w:pPr>
        <w:pStyle w:val="Normal"/>
        <w:ind w:hanging="0"/>
        <w:jc w:val="both"/>
        <w:rPr/>
      </w:pPr>
      <w:r>
        <w:rPr>
          <w:rStyle w:val="Strong"/>
          <w:rFonts w:cs="Calibri" w:cstheme="minorHAnsi"/>
          <w:b w:val="false"/>
          <w:bCs w:val="false"/>
          <w:sz w:val="24"/>
          <w:szCs w:val="24"/>
        </w:rPr>
        <w:tab/>
        <w:t>Neste caso, a PAPEM adotará o seguinte cronograma estimativo:</w:t>
      </w:r>
    </w:p>
    <w:tbl>
      <w:tblPr>
        <w:tblW w:w="935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418"/>
        <w:gridCol w:w="3789"/>
        <w:gridCol w:w="4148"/>
      </w:tblGrid>
      <w:tr>
        <w:trPr>
          <w:tblHeader w:val="true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DATA LIMITE</w:t>
            </w:r>
          </w:p>
        </w:tc>
        <w:tc>
          <w:tcPr>
            <w:tcW w:w="3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4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>
        <w:trPr/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JAN2026</w:t>
            </w:r>
          </w:p>
        </w:tc>
        <w:tc>
          <w:tcPr>
            <w:tcW w:w="3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  <w:t>Análise de incorporação das funcionalidades do SISRES ao SISPAG</w:t>
            </w:r>
          </w:p>
        </w:tc>
        <w:tc>
          <w:tcPr>
            <w:tcW w:w="4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Definição dos processos que permanecerão apenas para </w:t>
            </w:r>
            <w:r>
              <w:rPr>
                <w:rStyle w:val="Strong"/>
                <w:b w:val="false"/>
                <w:sz w:val="24"/>
                <w:szCs w:val="24"/>
              </w:rPr>
              <w:t>consulta histórica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Levantamento de requisitos junto aos setores usuários; e 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 Elaboração do plano de transição SISRES X SISPAG. </w:t>
            </w:r>
          </w:p>
        </w:tc>
      </w:tr>
      <w:tr>
        <w:trPr/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JUN2026</w:t>
            </w:r>
          </w:p>
        </w:tc>
        <w:tc>
          <w:tcPr>
            <w:tcW w:w="37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- Análise e Modelagem; 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Testes e Homologação. </w:t>
            </w:r>
          </w:p>
        </w:tc>
        <w:tc>
          <w:tcPr>
            <w:tcW w:w="4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>- I</w:t>
            </w:r>
            <w:r>
              <w:rPr>
                <w:sz w:val="24"/>
                <w:szCs w:val="24"/>
              </w:rPr>
              <w:t xml:space="preserve">mplementação das funcionalidades do SISRES no SISPAG; 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Testes unitários e integrados; 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Execução de testes de aceitação com usuários; 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- Ajustes finais; e</w:t>
            </w:r>
          </w:p>
        </w:tc>
      </w:tr>
      <w:tr>
        <w:trPr/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sz w:val="24"/>
                <w:szCs w:val="24"/>
                <w:lang w:eastAsia="pt-BR"/>
              </w:rPr>
            </w:pPr>
            <w:r>
              <w:rPr>
                <w:rFonts w:eastAsia="Times New Roman" w:cs="Calibri" w:cstheme="minorHAnsi"/>
                <w:sz w:val="24"/>
                <w:szCs w:val="24"/>
                <w:lang w:eastAsia="pt-BR"/>
              </w:rPr>
              <w:t>FEV2027</w:t>
            </w:r>
          </w:p>
        </w:tc>
        <w:tc>
          <w:tcPr>
            <w:tcW w:w="37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Implantação </w:t>
            </w:r>
          </w:p>
        </w:tc>
        <w:tc>
          <w:tcPr>
            <w:tcW w:w="4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cs="Calibr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="Calibri" w:cstheme="minorHAnsi"/>
                <w:bCs/>
                <w:sz w:val="24"/>
                <w:szCs w:val="24"/>
              </w:rPr>
              <w:t>- I</w:t>
            </w:r>
            <w:r>
              <w:rPr>
                <w:sz w:val="24"/>
                <w:szCs w:val="24"/>
              </w:rPr>
              <w:t>mplantação oficial das funcionalidades no SISPAG</w:t>
            </w:r>
          </w:p>
        </w:tc>
      </w:tr>
    </w:tbl>
    <w:p>
      <w:pPr>
        <w:pStyle w:val="Normal"/>
        <w:jc w:val="both"/>
        <w:rPr>
          <w:rFonts w:ascii="Calibri" w:hAnsi="Calibri"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5.3 CUSTO</w:t>
      </w:r>
    </w:p>
    <w:p>
      <w:pPr>
        <w:pStyle w:val="Normal"/>
        <w:ind w:firstLine="851"/>
        <w:jc w:val="both"/>
        <w:rPr>
          <w:rFonts w:ascii="Calibri" w:hAnsi="Calibr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O custo decorrente será absorvido dentro do teto autorizado no PA, pelo contrato de sustentação do SISPAG. </w:t>
      </w:r>
    </w:p>
    <w:p>
      <w:pPr>
        <w:pStyle w:val="Normal"/>
        <w:ind w:firstLine="709"/>
        <w:jc w:val="right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9"/>
        <w:jc w:val="right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 xml:space="preserve">Rio de Janeiro, RJ, na data de assinatura. </w:t>
      </w:r>
    </w:p>
    <w:p>
      <w:pPr>
        <w:pStyle w:val="Normal"/>
        <w:ind w:firstLine="709"/>
        <w:jc w:val="right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729"/>
        <w:gridCol w:w="901"/>
        <w:gridCol w:w="344"/>
        <w:gridCol w:w="901"/>
        <w:gridCol w:w="2730"/>
        <w:gridCol w:w="794"/>
      </w:tblGrid>
      <w:tr>
        <w:trPr/>
        <w:tc>
          <w:tcPr>
            <w:tcW w:w="4590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PAULA BALLARD</w:t>
            </w:r>
          </w:p>
        </w:tc>
        <w:tc>
          <w:tcPr>
            <w:tcW w:w="344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25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;sans-serif" w:hAnsi="Calibri;sans-serif"/>
                <w:i w:val="false"/>
                <w:caps w:val="false"/>
                <w:smallCaps w:val="false"/>
                <w:sz w:val="24"/>
                <w:szCs w:val="24"/>
              </w:rPr>
              <w:t>REJANE AMARAL</w:t>
            </w:r>
          </w:p>
        </w:tc>
      </w:tr>
      <w:tr>
        <w:trPr/>
        <w:tc>
          <w:tcPr>
            <w:tcW w:w="4590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Capitão de Fragata (T) </w:t>
            </w:r>
          </w:p>
        </w:tc>
        <w:tc>
          <w:tcPr>
            <w:tcW w:w="344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25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Capitão de Fragata (T) </w:t>
            </w:r>
          </w:p>
        </w:tc>
      </w:tr>
      <w:tr>
        <w:trPr/>
        <w:tc>
          <w:tcPr>
            <w:tcW w:w="4590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Assessora do SISPAG </w:t>
            </w:r>
          </w:p>
        </w:tc>
        <w:tc>
          <w:tcPr>
            <w:tcW w:w="344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25" w:type="dxa"/>
            <w:gridSpan w:val="3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;sans-serif" w:hAnsi="Calibri;sans-serif"/>
                <w:i w:val="false"/>
                <w:caps w:val="false"/>
                <w:smallCaps w:val="false"/>
                <w:sz w:val="24"/>
                <w:szCs w:val="24"/>
              </w:rPr>
              <w:t>Chefe do Departamento de Informática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ASSINADO DIGITALMENTE</w:t>
            </w:r>
          </w:p>
        </w:tc>
        <w:tc>
          <w:tcPr>
            <w:tcW w:w="901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44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ASSINADO DIGITALMENTE</w:t>
            </w:r>
          </w:p>
        </w:tc>
        <w:tc>
          <w:tcPr>
            <w:tcW w:w="794" w:type="dxa"/>
            <w:tcBorders/>
          </w:tcPr>
          <w:p>
            <w:pPr>
              <w:pStyle w:val="Contedodatabela"/>
              <w:widowControl w:val="false"/>
              <w:spacing w:lineRule="auto" w:line="240" w:before="0" w:after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erReference w:type="default" r:id="rId6"/>
      <w:type w:val="nextPage"/>
      <w:pgSz w:w="11906" w:h="16838"/>
      <w:pgMar w:left="1701" w:right="851" w:gutter="0" w:header="0" w:top="1134" w:footer="799" w:bottom="1557"/>
      <w:pgNumType w:fmt="decimal"/>
      <w:formProt w:val="false"/>
      <w:textDirection w:val="lrTb"/>
      <w:docGrid w:type="default" w:linePitch="360" w:charSpace="655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altName w:val="sans-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spacing w:before="0" w:after="160"/>
      <w:jc w:val="center"/>
      <w:rPr>
        <w:sz w:val="24"/>
        <w:szCs w:val="24"/>
      </w:rPr>
    </w:pPr>
    <w:r>
      <w:rPr>
        <w:sz w:val="24"/>
        <w:szCs w:val="24"/>
      </w:rPr>
      <w:t xml:space="preserve">-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de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6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- </w:t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457a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be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111c51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a123f"/>
    <w:rPr>
      <w:b/>
      <w:bCs/>
    </w:rPr>
  </w:style>
  <w:style w:type="character" w:styleId="Nfase">
    <w:name w:val="Ênfase"/>
    <w:basedOn w:val="DefaultParagraphFont"/>
    <w:uiPriority w:val="20"/>
    <w:qFormat/>
    <w:rsid w:val="001f0a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ca2b53"/>
    <w:rPr>
      <w:rFonts w:ascii="Courier New" w:hAnsi="Courier New" w:eastAsia="Times New Roman" w:cs="Courier New"/>
      <w:sz w:val="20"/>
      <w:szCs w:val="20"/>
    </w:rPr>
  </w:style>
  <w:style w:type="character" w:styleId="Ttulo4Char" w:customStyle="1">
    <w:name w:val="Título 4 Char"/>
    <w:basedOn w:val="DefaultParagraphFont"/>
    <w:link w:val="Ttulo4"/>
    <w:uiPriority w:val="9"/>
    <w:qFormat/>
    <w:rsid w:val="00111c51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985bed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7d388e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e024d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34d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CabealhoeRodap" w:customStyle="1">
    <w:name w:val="Cabeçalho e Rodapé"/>
    <w:basedOn w:val="Normal"/>
    <w:qFormat/>
    <w:pPr>
      <w:suppressLineNumbers/>
      <w:tabs>
        <w:tab w:val="clear" w:pos="708"/>
        <w:tab w:val="center" w:pos="4677" w:leader="none"/>
        <w:tab w:val="right" w:pos="9354" w:leader="none"/>
      </w:tabs>
    </w:pPr>
    <w:rPr/>
  </w:style>
  <w:style w:type="paragraph" w:styleId="Rodap">
    <w:name w:val="Footer"/>
    <w:basedOn w:val="CabealhoeRodap"/>
    <w:pPr/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d388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72A88-C066-4ABC-A6B0-764E59049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9275</TotalTime>
  <Application>LibreOffice/7.2.7.2$Windows_X86_64 LibreOffice_project/8d71d29d553c0f7dcbfa38fbfda25ee34cce99a2</Application>
  <AppVersion>15.0000</AppVersion>
  <Pages>6</Pages>
  <Words>1053</Words>
  <Characters>6053</Characters>
  <CharactersWithSpaces>7015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2025-08-28T21:17:00Z</dcterms:created>
  <dc:creator>WÍLLAM MACHADO GUIMARÃES</dc:creator>
  <dc:description/>
  <dc:language>pt-BR</dc:language>
  <cp:lastModifiedBy/>
  <dcterms:modified xsi:type="dcterms:W3CDTF">2026-01-12T15:43:30Z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