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5023"/>
          <w:sz w:val="34"/>
          <w:szCs w:val="34"/>
        </w:rPr>
        <w:t xml:space="preserve">Guia da reunião de orientação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Pontos a abordar · Espacialização e localização endógena · V20_15_LOC</w:t>
      </w:r>
    </w:p>
    <w:p>
      <w:pPr>
        <w:pBdr>
          <w:bottom w:val="single" w:color="1E5023" w:sz="6" w:space="6"/>
        </w:pBdr>
        <w:spacing w:after="160"/>
      </w:pP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1. Objetivo da reunião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Apresentar o racional da espacialização consolidada no modelo, versão V20_15_LOC, e alinhar as decisões metodológicas pendentes, com destaque para a premissa de geologia de armazenamento de CO₂.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2. Roteiro da apresentação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Sequência sugerida, acompanha os slides. A ordem leva do racional aos pontos de decisão.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Contexto, o modelo passa de custos nacionais uniformes a localização endógena por estado.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Princípios, rastreabilidade, estrutura versus nível, método do diferencial.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Mecanismos locacionais, custos de energéticos e minério por estado, elegibilidade das rotas, sucata regional.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Rota DR-NG-CCS e estrutura de custos herdada da linhagem-mãe.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Achados e pontos em aberto para decisão.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565C0"/>
          <w:sz w:val="26"/>
          <w:szCs w:val="26"/>
        </w:rPr>
        <w:t xml:space="preserve">3. Decisões a alinhar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Quatro pontos precisam de direcionamento. O primeiro é o mais importante.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565C0"/>
          <w:sz w:val="21"/>
          <w:szCs w:val="21"/>
        </w:rPr>
        <w:t xml:space="preserve">Premissa CCS = Sudeste.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Hoje a elegibilidade de captura está amarrada ao Sudeste por hipótese de geologia de armazenamento. Bacias reais, offshore de Campos e Santos, onshore do Recôncavo na Bahia, mudariam a elegibilidade de BF-BOF-CCS e DR-NG-CCS.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Pergunta,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mantemos o Sudeste como conjunto elegível ou incorporamos as bacias reais? Se incorporarmos, quais entram no caso-base?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Nomenclatura e enquadramento dos cenários.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Convenção atual, Ref, Stab, Red e FR. Como decisões de nomenclatura e enquadramento passam pelo orientador, convém confirmar antes de fixar nas saídas e no texto.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Carvão vegetal, dupla contagem geográfica.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faixas nacionais de custo do carvão vegetal foram concebidas como proxy geográfico. Com a geografia agora explícita nos custos por estado, manter as faixas com essa leitura pode contar a geografia duas vezes.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Pergunta,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mantemos a curva nacional como está ou revisamos a leitura geográfica?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Sucata, frações regionais fixas.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As frações são fixas no ano de referência de 2024 e a evolução até 2050 vem apenas do crescimento do envelope nacional, com fronteira rígida entre regiões.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Pergunta,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 abordagem é aceitável para o caso-base e a sensibilidade planejada, relaxando distribuição e envelope, cobre a ressalva?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4. Achados a comunicar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Lock-in de carbono.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frota BF-BOF a carvão mineral existente impede reduções agressivas de emissão no curto prazo, por um limite físico que independe de custo ou ambição de política. É achado substantivo, não erro de modelagem, e pode ser enquadrado como trajetória de emissão mínima factível.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Concentração na Bahia.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Sem demanda regionalizada, a capacidade nova migra para o estado de menor custo, litoral com carvão importado barato, e Minas Gerais perde relevância. É artefato do lado da demanda, não da oferta de sucata, e a regionalização da demanda é escopo do segundo artigo. Vale registrar que se pretende verificar antes se as planilhas de custo por estado não atribuem à Bahia valores baixos demais.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5. Perguntas objetivas para o Emílio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Conjunto elegível a CCS, Sudeste ou bacias reais? Quais no caso-base?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Confirma a nomenclatura Ref, Stab, Red e FR e o respectivo enquadramento?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 carvão vegetal permanece nacional nesta versão ou entra na revisão geográfica agora?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abordagem de sucata regional fixa é suficiente para o caso-base, com a sensibilidade como complemento?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Alguma preferência de enquadramento para o achado de lock-in no texto do artigo?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6. Próximos passos a validar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Rodar o cenário de maior ambição, MIT, apertando a restrição de emissão.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Análises de sensibilidade, frações regionais de sucata, diferencial de pelota DR-grade e preços de energéticos.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Investigar o custo da Bahia, conferindo Fuel_Prices_State e Ore_Cost_State.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Segundo artigo, regionalização da demanda e siting ótimo das novas plantas.</w:t>
      </w:r>
    </w:p>
    <w:p>
      <w:pPr>
        <w:spacing w:after="90" w:before="240"/>
      </w:pPr>
      <w:r>
        <w:rPr>
          <w:rFonts w:ascii="Calibri" w:cs="Calibri" w:eastAsia="Calibri" w:hAnsi="Calibri"/>
          <w:b/>
          <w:bCs/>
          <w:color w:val="1E5023"/>
          <w:sz w:val="26"/>
          <w:szCs w:val="26"/>
        </w:rPr>
        <w:t xml:space="preserve">7. Antes da reunião</w:t>
      </w:r>
    </w:p>
    <w:p>
      <w:pPr>
        <w:spacing w:after="80" w:line="268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Alinhar com o Otto os pontos de decisão, sobretudo a premissa de CCS.</w:t>
      </w:r>
    </w:p>
    <w:p>
      <w:pPr>
        <w:spacing w:after="80" w:line="268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Conferir se a Bahia não tem custo artificialmente baixo nas planilhas por estado.</w:t>
      </w:r>
    </w:p>
    <w:p>
      <w:pPr>
        <w:spacing w:after="80" w:line="268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 houver tempo, rodar o cenário MIT para levar um resultado preliminar.</w:t>
      </w:r>
    </w:p>
    <w:p>
      <w:pPr>
        <w:spacing w:after="80" w:line="268"/>
      </w:pPr>
      <w:r>
        <w:rPr>
          <w:rFonts w:ascii="Calibri" w:cs="Calibri" w:eastAsia="Calibri" w:hAnsi="Calibri"/>
          <w:sz w:val="21"/>
          <w:szCs w:val="21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Levar as alternativas de bacias de CCS já mapeadas, Campos, Santos e Recôncavo.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2026-08-31T18:18:35.391Z</dcterms:created>
  <dcterms:modified xsi:type="dcterms:W3CDTF">2026-08-31T18:18:35.392Z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