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sz w:val="36"/>
          <w:szCs w:val="36"/>
        </w:rPr>
        <w:t xml:space="preserve">Material Estratégico de Marketing</w:t>
      </w:r>
    </w:p>
    <w:p>
      <w:pPr>
        <w:spacing w:after="200"/>
        <w:jc w:val="center"/>
      </w:pPr>
      <w:r>
        <w:rPr>
          <w:b/>
          <w:bCs/>
          <w:color w:val="1F4E79"/>
          <w:sz w:val="28"/>
          <w:szCs w:val="28"/>
        </w:rPr>
        <w:t xml:space="preserve">LLM em Gestão do Agronegócio — IDP</w:t>
      </w:r>
    </w:p>
    <w:p>
      <w:pPr>
        <w:spacing w:after="480"/>
        <w:jc w:val="center"/>
      </w:pPr>
      <w:r>
        <w:rPr>
          <w:i/>
          <w:iCs/>
          <w:color w:val="595959"/>
          <w:sz w:val="22"/>
          <w:szCs w:val="22"/>
        </w:rPr>
        <w:t xml:space="preserve">Análise competitiva, tom de comunicação e personas</w:t>
      </w:r>
    </w:p>
    <w:p>
      <w:pPr>
        <w:spacing w:after="120" w:before="2400"/>
        <w:jc w:val="center"/>
      </w:pPr>
      <w:r>
        <w:rPr>
          <w:sz w:val="20"/>
          <w:szCs w:val="20"/>
        </w:rPr>
        <w:t xml:space="preserve">Concorrentes analisados: FGV Direito SP e PUC (Minas e PR)</w:t>
      </w:r>
    </w:p>
    <w:p>
      <w:pPr>
        <w:jc w:val="center"/>
      </w:pPr>
      <w:r>
        <w:rPr>
          <w:color w:val="595959"/>
          <w:sz w:val="20"/>
          <w:szCs w:val="20"/>
        </w:rPr>
        <w:t xml:space="preserve">Maio de 2026</w:t>
      </w:r>
    </w:p>
    <w:p>
      <w:pPr>
        <w:pageBreakBefore/>
      </w:pPr>
      <w:r>
        <w:br/>
        <w:t xml:space="preserve"/>
      </w:r>
    </w:p>
    <w:p>
      <w:pPr>
        <w:pStyle w:val="Heading1"/>
        <w:spacing w:after="200" w:before="360"/>
      </w:pPr>
      <w:r>
        <w:t xml:space="preserve">Sumário Executivo</w:t>
      </w:r>
    </w:p>
    <w:p>
      <w:pPr>
        <w:spacing w:after="120" w:line="320"/>
        <w:jc w:val="both"/>
      </w:pPr>
      <w:r>
        <w:t xml:space="preserve">Este documento consolida a análise estratégica de marketing para o LLM em Gestão do Agronegócio do IDP, considerando a comparação com os principais concorrentes diretos (FGV Direito SP) e indiretos (PUC Minas EAD e PUC PR presencial). O objetivo é fornecer base para a construção de campanhas, refino de landing page e abordagem comercial segmentada.</w:t>
      </w:r>
    </w:p>
    <w:p>
      <w:pPr>
        <w:spacing w:after="120" w:line="320"/>
        <w:jc w:val="both"/>
      </w:pPr>
      <w:r>
        <w:t xml:space="preserve">A tese central que orienta toda a recomendação é: o IDP não deve competir no terreno onde a FGV é mais forte (mercado de capitais sofisticado e marca premium nacional), nem no terreno onde a PUC é mais forte (preço acessível ou penetração regional). O IDP deve consolidar um terreno próprio — a posição geográfica e regulatória de Brasília como epicentro das decisões que moldam o agronegócio brasileiro.</w:t>
      </w:r>
    </w:p>
    <w:p>
      <w:pPr>
        <w:spacing w:after="120" w:line="320"/>
        <w:jc w:val="both"/>
      </w:pPr>
      <w:r>
        <w:rPr>
          <w:b/>
          <w:bCs/>
        </w:rPr>
        <w:t xml:space="preserve">Mensagem-mãe sugerida: </w:t>
      </w:r>
      <w:r>
        <w:rPr>
          <w:i/>
          <w:iCs/>
        </w:rPr>
        <w:t xml:space="preserve">“As regras do agro são feitas em Brasília. Estude onde elas nascem.”</w:t>
      </w:r>
    </w:p>
    <w:p>
      <w:pPr>
        <w:pStyle w:val="Heading1"/>
        <w:spacing w:after="200" w:before="360"/>
      </w:pPr>
      <w:r>
        <w:t xml:space="preserve">Parte 1 — Comparação entre Landing Pages</w:t>
      </w:r>
    </w:p>
    <w:p>
      <w:pPr>
        <w:pStyle w:val="Heading2"/>
        <w:spacing w:after="160" w:before="280"/>
      </w:pPr>
      <w:r>
        <w:t xml:space="preserve">LP do IDP — referência atual</w:t>
      </w:r>
    </w:p>
    <w:p>
      <w:pPr>
        <w:spacing w:after="120" w:line="320"/>
        <w:jc w:val="both"/>
      </w:pPr>
      <w:r>
        <w:t xml:space="preserve">A landing page do IDP é uma estrutura de venda enxuta e funcional. Ela acerta no básico: contador regressivo de vagas no topo gerando urgência, headline focada em benefício real (“Atue com autoridade jurídica no Agronegócio brasileiro”), seção clara de público-alvo dividida em quatro perfis bem definidos, grade curricular agrupada em quatro pilares temáticos e tabela de investimento explícita com cinco opções de parcelamento. O CTA principal “Baixar Guia do Curso” é repetido várias vezes ao longo da página.</w:t>
      </w:r>
    </w:p>
    <w:p>
      <w:pPr>
        <w:spacing w:after="120" w:line="320"/>
        <w:jc w:val="both"/>
      </w:pPr>
      <w:r>
        <w:t xml:space="preserve">Os pontos fracos são três: o corpo docente é apresentado de forma genérica, com fotos e títulos acadêmicos mas sem detalhamento da contribuição prática de cada professor; os depoimentos são genéricos do IDP e não específicos do LLM em Agro; e falta um elemento que justifique o investimento de R$ 33 mil logo de cara, especialmente prova social do mercado (alunos atuais em escritórios e empresas do setor, convênios institucionais, ou cases concretos).</w:t>
      </w:r>
    </w:p>
    <w:p>
      <w:pPr>
        <w:pStyle w:val="Heading2"/>
        <w:spacing w:after="160" w:before="280"/>
      </w:pPr>
      <w:r>
        <w:t xml:space="preserve">LP da FGV Direito SP — concorrente premium</w:t>
      </w:r>
    </w:p>
    <w:p>
      <w:pPr>
        <w:spacing w:after="120" w:line="320"/>
        <w:jc w:val="both"/>
      </w:pPr>
      <w:r>
        <w:t xml:space="preserve">A FGV trabalha com uma LP institucional minimalista, no padrão de site corporativo de universidade, não no padrão de página de vendas. A informação básica do curso é apresentada de forma técnica e formal: modalidade Blended, data de início, ementa por disciplina. Não há contador de vagas, não há tabela visual de investimento na LP principal, não há headline emocional. A FGV vende pela marca, não pela página.</w:t>
      </w:r>
    </w:p>
    <w:p>
      <w:pPr>
        <w:spacing w:after="120" w:line="320"/>
        <w:jc w:val="both"/>
      </w:pPr>
      <w:r>
        <w:t xml:space="preserve">A vantagem dessa abordagem é transmitir seriedade e sobriedade — “isso aqui é só para quem entende do que se trata”. Para o público sênior funciona porque o aluno chega decidido pelo selo da escola. A desvantagem é que, para um aluno em dúvida, a página não converte sozinha; depende do reconhecimento prévio da marca.</w:t>
      </w:r>
    </w:p>
    <w:p>
      <w:pPr>
        <w:pStyle w:val="Heading2"/>
        <w:spacing w:after="160" w:before="280"/>
      </w:pPr>
      <w:r>
        <w:t xml:space="preserve">LP da PUC Minas — concorrente de preço</w:t>
      </w:r>
    </w:p>
    <w:p>
      <w:pPr>
        <w:spacing w:after="120" w:line="320"/>
        <w:jc w:val="both"/>
      </w:pPr>
      <w:r>
        <w:t xml:space="preserve">A LP da PUC Minas roda em plataforma de e-commerce educacional, com layout de produto na prateleira. Mostra preço em destaque (R$ 5.800 à vista com 7% de desconto, ou parcelamentos de até 20x), 15% de desconto para advogados OAB-MG, e benefícios genéricos como “estude onde e quando quiser”. Tem o feel de compra rápida, decisão de impulso.</w:t>
      </w:r>
    </w:p>
    <w:p>
      <w:pPr>
        <w:spacing w:after="120" w:line="320"/>
        <w:jc w:val="both"/>
      </w:pPr>
      <w:r>
        <w:t xml:space="preserve">A LP da PUC Minas não tenta competir em prestígio — compete em acessibilidade. O conteúdo do curso aparece como uma lista corrida de disciplinas, sem agrupamento estratégico. Não há corpo docente com fotos, não há diferenciação clara de metodologia. É funcional para o público que ela atende, mas não disputa o mesmo ticket que IDP e FGV.</w:t>
      </w:r>
    </w:p>
    <w:p>
      <w:pPr>
        <w:pStyle w:val="Heading2"/>
        <w:spacing w:after="160" w:before="280"/>
      </w:pPr>
      <w:r>
        <w:t xml:space="preserve">Diagnóstico e recomendações para a LP do IDP</w:t>
      </w:r>
    </w:p>
    <w:p>
      <w:pPr>
        <w:spacing w:after="120" w:line="320"/>
        <w:jc w:val="both"/>
      </w:pPr>
      <w:r>
        <w:t xml:space="preserve">O IDP está num limbo de posicionamento entre os dois extremos. Não tem o branding intocável da FGV (que vende sozinho) nem o preço acessível da PUC Minas (que converte por impulso). Por isso, a LP do IDP precisa trabalhar mais duro que as duas — precisa explicar, justificar e seduzir. E o argumento mais forte que o IDP tem para fazer isso é a posição geográfica e regulatória de Brasília, que praticamente não está sendo usada na LP atual.</w:t>
      </w:r>
    </w:p>
    <w:p>
      <w:pPr>
        <w:spacing w:after="120" w:line="320"/>
        <w:jc w:val="both"/>
      </w:pPr>
      <w:r>
        <w:t xml:space="preserve">Recomendações concretas:</w:t>
      </w:r>
    </w:p>
    <w:p>
      <w:pPr>
        <w:pStyle w:val="ListParagraph"/>
        <w:numPr>
          <w:ilvl w:val="0"/>
          <w:numId w:val="2"/>
        </w:numPr>
        <w:spacing w:after="80" w:line="320"/>
        <w:jc w:val="both"/>
      </w:pPr>
      <w:r>
        <w:t xml:space="preserve">Criar uma seção “Por que Brasília” com 3-4 bullets sobre proximidade do Mapa, Ibama, Congresso, STF e tribunais superiores — transformando localização em diferencial competitivo.</w:t>
      </w:r>
    </w:p>
    <w:p>
      <w:pPr>
        <w:pStyle w:val="ListParagraph"/>
        <w:numPr>
          <w:ilvl w:val="0"/>
          <w:numId w:val="2"/>
        </w:numPr>
        <w:spacing w:after="80" w:line="320"/>
        <w:jc w:val="both"/>
      </w:pPr>
      <w:r>
        <w:t xml:space="preserve">Substituir os depoimentos genéricos por depoimentos específicos de alunos do LLM em Agro, mesmo que da turma piloto.</w:t>
      </w:r>
    </w:p>
    <w:p>
      <w:pPr>
        <w:pStyle w:val="ListParagraph"/>
        <w:numPr>
          <w:ilvl w:val="0"/>
          <w:numId w:val="2"/>
        </w:numPr>
        <w:spacing w:after="80" w:line="320"/>
        <w:jc w:val="both"/>
      </w:pPr>
      <w:r>
        <w:t xml:space="preserve">Adicionar uma seção “Onde nossos alunos atuam” com logos de escritórios, empresas e órgãos do setor.</w:t>
      </w:r>
    </w:p>
    <w:p>
      <w:pPr>
        <w:pStyle w:val="ListParagraph"/>
        <w:numPr>
          <w:ilvl w:val="0"/>
          <w:numId w:val="2"/>
        </w:numPr>
        <w:spacing w:after="80" w:line="320"/>
        <w:jc w:val="both"/>
      </w:pPr>
      <w:r>
        <w:t xml:space="preserve">Tornar o corpo docente mais específico — explicitar a contribuição prática de cada professor, não apenas título acadêmico.</w:t>
      </w:r>
    </w:p>
    <w:p>
      <w:pPr>
        <w:pStyle w:val="ListParagraph"/>
        <w:numPr>
          <w:ilvl w:val="0"/>
          <w:numId w:val="2"/>
        </w:numPr>
        <w:spacing w:after="80" w:line="320"/>
        <w:jc w:val="both"/>
      </w:pPr>
      <w:r>
        <w:t xml:space="preserve">Criar prova social numérica: percentual de alunos que se reposicionaram, número de operações analisadas em sala, feedback NPS de turmas anteriores do IDP em cursos correlatos.</w:t>
      </w:r>
    </w:p>
    <w:p>
      <w:pPr>
        <w:pStyle w:val="Heading1"/>
        <w:spacing w:after="200" w:before="360"/>
      </w:pPr>
      <w:r>
        <w:t xml:space="preserve">Parte 2 — Tom dos Anúncios</w:t>
      </w:r>
    </w:p>
    <w:p>
      <w:pPr>
        <w:pStyle w:val="Heading2"/>
        <w:spacing w:after="160" w:before="280"/>
      </w:pPr>
      <w:r>
        <w:t xml:space="preserve">Eixo central — autoridade calma, não urgência ansiosa</w:t>
      </w:r>
    </w:p>
    <w:p>
      <w:pPr>
        <w:spacing w:after="120" w:line="320"/>
        <w:jc w:val="both"/>
      </w:pPr>
      <w:r>
        <w:t xml:space="preserve">O agronegócio é um setor onde o público-alvo despreza linguagem agressiva de “última chance, garante já” — esse vocabulário é associado a curso barato e infoproduto. O tom precisa transmitir que o IDP é uma instituição séria oferecendo uma oportunidade séria. Em vez de competir no terreno onde a FGV é imbatível, o IDP deve reposicionar a conversa para um terreno onde Brasília é vantagem inerente.</w:t>
      </w:r>
    </w:p>
    <w:p>
      <w:pPr>
        <w:spacing w:after="120" w:line="320"/>
        <w:jc w:val="both"/>
      </w:pPr>
      <w:r>
        <w:rPr>
          <w:b/>
          <w:bCs/>
        </w:rPr>
        <w:t xml:space="preserve">Slogan-conceito que orienta todas as variações: </w:t>
      </w:r>
      <w:r>
        <w:rPr>
          <w:i/>
          <w:iCs/>
        </w:rPr>
        <w:t xml:space="preserve">“As regras do agro são feitas em Brasília. Estude onde elas nascem.”</w:t>
      </w:r>
    </w:p>
    <w:p>
      <w:pPr>
        <w:spacing w:after="120" w:line="320"/>
        <w:jc w:val="both"/>
      </w:pPr>
      <w:r>
        <w:t xml:space="preserve">Não mencione concorrentes diretamente — apenas implique a vantagem.</w:t>
      </w:r>
    </w:p>
    <w:p>
      <w:pPr>
        <w:pStyle w:val="Heading2"/>
        <w:spacing w:after="160" w:before="280"/>
      </w:pPr>
      <w:r>
        <w:t xml:space="preserve">Tom por canal</w:t>
      </w:r>
    </w:p>
    <w:p>
      <w:pPr>
        <w:spacing w:after="120" w:line="320"/>
        <w:jc w:val="both"/>
      </w:pPr>
      <w:r>
        <w:rPr>
          <w:b/>
          <w:bCs/>
        </w:rPr>
        <w:t xml:space="preserve">LinkedIn (público corporativo, sênior): </w:t>
      </w:r>
      <w:r>
        <w:t xml:space="preserve">tom institucional, factual, sem exclamações. Foco em autoridade e em dados concretos. Funciona melhor com imagens de ambiente jurídico e institucional, não com fotos de plantação. Exemplo: “O agronegócio responde por aproximadamente 24% do PIB brasileiro. As decisões regulatórias que moldam esse mercado acontecem em Brasília. O LLM em Gestão do Agronegócio do IDP forma profissionais para atuar nesse epicentro.”</w:t>
      </w:r>
    </w:p>
    <w:p>
      <w:pPr>
        <w:spacing w:after="120" w:line="320"/>
        <w:jc w:val="both"/>
      </w:pPr>
      <w:r>
        <w:rPr>
          <w:b/>
          <w:bCs/>
        </w:rPr>
        <w:t xml:space="preserve">Instagram e Facebook (alcance amplo, descoberta): </w:t>
      </w:r>
      <w:r>
        <w:t xml:space="preserve">tom mais acessível, mas ainda profissional. Pode usar perguntas provocativas como abertura. Carrosséis funcionam bem para mostrar a grade curricular em pílulas. Evite emoji em excesso — o público alvo é maduro.</w:t>
      </w:r>
    </w:p>
    <w:p>
      <w:pPr>
        <w:spacing w:after="120" w:line="320"/>
        <w:jc w:val="both"/>
      </w:pPr>
      <w:r>
        <w:rPr>
          <w:b/>
          <w:bCs/>
        </w:rPr>
        <w:t xml:space="preserve">Google Ads (intenção alta, busca por termos): </w:t>
      </w:r>
      <w:r>
        <w:t xml:space="preserve">tom direto, sem rodeio, foco em palavras-chave técnicas como “pós-graduação direito agronegócio Brasília”, “LLM agronegócio”, “especialização direito agrário”. O anúncio deve responder à busca, não construir desejo — quem busca esses termos já está no fundo do funil.</w:t>
      </w:r>
    </w:p>
    <w:p>
      <w:pPr>
        <w:spacing w:after="120" w:line="320"/>
        <w:jc w:val="both"/>
      </w:pPr>
      <w:r>
        <w:rPr>
          <w:b/>
          <w:bCs/>
        </w:rPr>
        <w:t xml:space="preserve">E-mail e remarketing: </w:t>
      </w:r>
      <w:r>
        <w:t xml:space="preserve">tom mais consultivo, quase de “conselho de quem entende”. Aqui é possível aprofundar argumentos que não cabem em mídia paga, como detalhes do corpo docente, comparações implícitas com outras formações, e cases.</w:t>
      </w:r>
    </w:p>
    <w:p>
      <w:pPr>
        <w:pStyle w:val="Heading2"/>
        <w:spacing w:after="160" w:before="280"/>
      </w:pPr>
      <w:r>
        <w:t xml:space="preserve">O que evitar em todo canal</w:t>
      </w:r>
    </w:p>
    <w:p>
      <w:pPr>
        <w:pStyle w:val="ListParagraph"/>
        <w:numPr>
          <w:ilvl w:val="0"/>
          <w:numId w:val="2"/>
        </w:numPr>
        <w:spacing w:after="80" w:line="320"/>
        <w:jc w:val="both"/>
      </w:pPr>
      <w:r>
        <w:t xml:space="preserve">Linguagem motivacional vazia (“transforme sua carreira”, “alcance seu propósito”).</w:t>
      </w:r>
    </w:p>
    <w:p>
      <w:pPr>
        <w:pStyle w:val="ListParagraph"/>
        <w:numPr>
          <w:ilvl w:val="0"/>
          <w:numId w:val="2"/>
        </w:numPr>
        <w:spacing w:after="80" w:line="320"/>
        <w:jc w:val="both"/>
      </w:pPr>
      <w:r>
        <w:t xml:space="preserve">Urgência artificial em excesso — um contador é suficiente, não cinco.</w:t>
      </w:r>
    </w:p>
    <w:p>
      <w:pPr>
        <w:pStyle w:val="ListParagraph"/>
        <w:numPr>
          <w:ilvl w:val="0"/>
          <w:numId w:val="2"/>
        </w:numPr>
        <w:spacing w:after="80" w:line="320"/>
        <w:jc w:val="both"/>
      </w:pPr>
      <w:r>
        <w:t xml:space="preserve">Promessas de aumento salarial ou empregabilidade específica.</w:t>
      </w:r>
    </w:p>
    <w:p>
      <w:pPr>
        <w:pStyle w:val="ListParagraph"/>
        <w:numPr>
          <w:ilvl w:val="0"/>
          <w:numId w:val="2"/>
        </w:numPr>
        <w:spacing w:after="80" w:line="320"/>
        <w:jc w:val="both"/>
      </w:pPr>
      <w:r>
        <w:t xml:space="preserve">Qualquer coisa que cheire a infoproduto premium — o público compara IDP com FGV mentalmente, e qualquer escorregão de tom o joga numa categoria inferior.</w:t>
      </w:r>
    </w:p>
    <w:p>
      <w:pPr>
        <w:pStyle w:val="Heading1"/>
        <w:spacing w:after="200" w:before="360"/>
      </w:pPr>
      <w:r>
        <w:t xml:space="preserve">Parte 3 — Personas</w:t>
      </w:r>
    </w:p>
    <w:p>
      <w:pPr>
        <w:spacing w:after="120" w:line="320"/>
        <w:jc w:val="both"/>
      </w:pPr>
      <w:r>
        <w:t xml:space="preserve">As três personas a seguir representam os perfis dominantes que o LLM do IDP deve capturar. Cada persona tem um eixo emocional dominante diferente, e a comunicação precisa respeitar isso. Para cada persona, foram consolidadas as 3 dores mais críticas e as estratégias específicas para abordá-las.</w:t>
      </w:r>
    </w:p>
    <w:p>
      <w:pPr>
        <w:pStyle w:val="Heading2"/>
        <w:spacing w:after="160" w:before="280"/>
      </w:pPr>
      <w:r>
        <w:t xml:space="preserve">Persona 1 — Rafael, o Advogado em Transição</w:t>
      </w:r>
    </w:p>
    <w:p>
      <w:pPr>
        <w:spacing w:after="120" w:line="320"/>
        <w:jc w:val="both"/>
      </w:pPr>
      <w:r>
        <w:rPr>
          <w:b/>
          <w:bCs/>
        </w:rPr>
        <w:t xml:space="preserve">Perfil: </w:t>
      </w:r>
      <w:r>
        <w:t xml:space="preserve">34 anos, mora em Brasília ou Goiânia, advogado há 8 anos numa banca média generalista. Atende carteira mista (empresarial, contratos, tributário) e percebeu que três dos seus melhores clientes são produtores rurais ou empresas ligadas ao agro. Está vendo o setor crescer, sente que está deixando dinheiro na mesa por não ter especialização, e quer se reposicionar.</w:t>
      </w:r>
    </w:p>
    <w:p>
      <w:pPr>
        <w:spacing w:after="120" w:line="320"/>
        <w:jc w:val="both"/>
      </w:pPr>
      <w:r>
        <w:rPr>
          <w:b/>
          <w:bCs/>
        </w:rPr>
        <w:t xml:space="preserve">Renda: </w:t>
      </w:r>
      <w:r>
        <w:t xml:space="preserve">R$ 12-25 mil/mês. Pode investir em pós, mas precisa que o ROI seja claro.</w:t>
      </w:r>
    </w:p>
    <w:p>
      <w:pPr>
        <w:spacing w:after="120" w:line="320"/>
        <w:jc w:val="both"/>
      </w:pPr>
      <w:r>
        <w:rPr>
          <w:b/>
          <w:bCs/>
        </w:rPr>
        <w:t xml:space="preserve">Eixo emocional dominante: </w:t>
      </w:r>
      <w:r>
        <w:t xml:space="preserve">ambição racional — não ficar para trás, subir de patamar.</w:t>
      </w:r>
    </w:p>
    <w:p>
      <w:pPr>
        <w:pStyle w:val="Heading3"/>
        <w:spacing w:after="120" w:before="220"/>
      </w:pPr>
      <w:r>
        <w:t xml:space="preserve">3 dores principais</w:t>
      </w:r>
    </w:p>
    <w:p>
      <w:pPr>
        <w:spacing w:after="120" w:line="320"/>
        <w:jc w:val="both"/>
      </w:pPr>
      <w:r>
        <w:rPr>
          <w:b/>
          <w:bCs/>
        </w:rPr>
        <w:t xml:space="preserve">Dor 1 — A síndrome do impostor técnico combinada com dinheiro escapando. </w:t>
      </w:r>
      <w:r>
        <w:t xml:space="preserve">Rafael atende clientes do agro hoje, mas sente que está sempre no limite do conhecimento. Quando o cliente pergunta sobre CPR, FIAGRO ou estruturação de holding rural, ele dá uma resposta vaga ou terceiriza. Pior: os clientes dele fecham operações estruturadas (R$ 5-50 milhões) em outras bancas, justamente nas estruturações mais complexas. Ele fica com a parte residual e calcula mentalmente quanto deixou na mesa nos últimos 2-3 anos. A dor é dupla — autoridade técnica corroída e dinheiro concreto perdido.</w:t>
      </w:r>
    </w:p>
    <w:p>
      <w:pPr>
        <w:spacing w:after="120" w:line="320"/>
        <w:jc w:val="both"/>
      </w:pPr>
      <w:r>
        <w:rPr>
          <w:b/>
          <w:bCs/>
        </w:rPr>
        <w:t xml:space="preserve">Dor 2 — Estagnação de honorários e ausência de nicho. </w:t>
      </w:r>
      <w:r>
        <w:t xml:space="preserve">Há 4 anos cobra mais ou menos a mesma faixa. Os clientes pequenos não pagam mais; os grandes não chegam até ele porque ele não tem o selo de especialista. Sem nicho definido, ele é commodity e compete por preço com qualquer advogado generalista do mercado.</w:t>
      </w:r>
    </w:p>
    <w:p>
      <w:pPr>
        <w:spacing w:after="120" w:line="320"/>
        <w:jc w:val="both"/>
      </w:pPr>
      <w:r>
        <w:rPr>
          <w:b/>
          <w:bCs/>
        </w:rPr>
        <w:t xml:space="preserve">Dor 3 — Solidão profissional somada à ansiedade da janela que está fechando. </w:t>
      </w:r>
      <w:r>
        <w:t xml:space="preserve">Não tem rede no setor — quando precisa de uma indicação, de uma opinião sobre operação atípica, não tem para quem ligar. Em paralelo, sente que tem 2-3 anos para se posicionar antes que o mercado de advocacia do agro fique saturado. Vê novos cursos surgindo, colegas se especializando, e tem medo de chegar em 2028 como mais um generalista que tentou virar agrarista.</w:t>
      </w:r>
    </w:p>
    <w:p>
      <w:pPr>
        <w:pStyle w:val="Heading3"/>
        <w:spacing w:after="120" w:before="220"/>
      </w:pPr>
      <w:r>
        <w:t xml:space="preserve">Estratégias por dor</w:t>
      </w:r>
    </w:p>
    <w:p>
      <w:pPr>
        <w:spacing w:after="120" w:line="320"/>
        <w:jc w:val="both"/>
      </w:pPr>
      <w:r>
        <w:rPr>
          <w:b/>
          <w:bCs/>
        </w:rPr>
        <w:t xml:space="preserve">Para a Dor 1 (impostor técnico + dinheiro escapando): </w:t>
      </w:r>
      <w:r>
        <w:t xml:space="preserve">a mensagem não é “aprenda agro” — é “domine os tópicos que hoje você terceiriza”. Listar explicitamente CRA, CPR, FIAGRO, securitização, holding rural, recuperação judicial rural. Conteúdo focado em ROI tangível: “uma operação estruturada típica de CRA gera honorário de R$ 80-300 mil; o curso custa R$ 33 mil”. Webinars sobre “como precificar honorários em operações de agro” funcionam como isca ultra-qualificada. Carrossel no LinkedIn: “10 operações que advogado do agro precisa dominar — você confia em quantas delas?”.</w:t>
      </w:r>
    </w:p>
    <w:p>
      <w:pPr>
        <w:spacing w:after="120" w:line="320"/>
        <w:jc w:val="both"/>
      </w:pPr>
      <w:r>
        <w:rPr>
          <w:b/>
          <w:bCs/>
        </w:rPr>
        <w:t xml:space="preserve">Para a Dor 2 (estagnação de honorários): </w:t>
      </w:r>
      <w:r>
        <w:t xml:space="preserve">mostrar trajetórias de alunos que se reposicionaram, mesmo que da turma piloto ou de cursos correlatos do IDP. Depoimentos do tipo “antes eu cobrava X, hoje cobro Y” — não precisa ser número específico, pode ser “passei a fechar operações que antes nem me chamavam para opinar”. Posicionar o LLM como o selo que tira ele da categoria de commodity.</w:t>
      </w:r>
    </w:p>
    <w:p>
      <w:pPr>
        <w:spacing w:after="120" w:line="320"/>
        <w:jc w:val="both"/>
      </w:pPr>
      <w:r>
        <w:rPr>
          <w:b/>
          <w:bCs/>
        </w:rPr>
        <w:t xml:space="preserve">Para a Dor 3 (solidão + janela fechando): </w:t>
      </w:r>
      <w:r>
        <w:t xml:space="preserve">o networking é genuíno valor — mas precisa ser mostrado de forma específica. Não diga “networking qualificado”; diga “você vai estudar ao lado do jurídico da Cargill, do sócio da banca X, do diretor regulatório do banco Y”. Mostrar a composição típica das turmas anteriores é prova social poderosa. Para a janela, trabalhar com dados de mercado (Cepea, CNA, Mapa) e conteúdo do tipo “o agronegócio brasileiro vai dobrar de tamanho em operações estruturadas até 2030 — quem vai capturar essa demanda?”.</w:t>
      </w:r>
    </w:p>
    <w:p>
      <w:pPr>
        <w:pStyle w:val="Heading3"/>
        <w:spacing w:after="120" w:before="220"/>
      </w:pPr>
      <w:r>
        <w:t xml:space="preserve">Canal e ciclo de venda</w:t>
      </w:r>
    </w:p>
    <w:p>
      <w:pPr>
        <w:spacing w:after="120" w:line="320"/>
        <w:jc w:val="both"/>
      </w:pPr>
      <w:r>
        <w:t xml:space="preserve">Rafael começa pesquisando no Google. Cai na LP, baixa o guia, entra em fluxo de e-mail. Em paralelo, é impactado por anúncios de remarketing no LinkedIn e Instagram durante 3-6 semanas. Converte por contato com consultor após ler 3-4 conteúdos profundos do IDP. Ciclo de venda estimado: 30-60 dias.</w:t>
      </w:r>
    </w:p>
    <w:p>
      <w:pPr>
        <w:pStyle w:val="Heading2"/>
        <w:spacing w:after="160" w:before="280"/>
      </w:pPr>
      <w:r>
        <w:t xml:space="preserve">Persona 2 — Beatriz, a Jurídica Corporativa</w:t>
      </w:r>
    </w:p>
    <w:p>
      <w:pPr>
        <w:spacing w:after="120" w:line="320"/>
        <w:jc w:val="both"/>
      </w:pPr>
      <w:r>
        <w:rPr>
          <w:b/>
          <w:bCs/>
        </w:rPr>
        <w:t xml:space="preserve">Perfil: </w:t>
      </w:r>
      <w:r>
        <w:t xml:space="preserve">41 anos, gerente jurídica de uma agroindústria, trading ou cooperativa no Centro-Oeste (processadora de soja em Rio Verde, usina de etanol em Goiás, cooperativa em MS). Formou-se em Direito, fez pós em empresarial há dez anos, hoje gerencia uma equipe pequena de advogados internos. A empresa está crescendo, entrou em operações estruturadas com bancos, está sob pressão regulatória de ESG e compliance.</w:t>
      </w:r>
    </w:p>
    <w:p>
      <w:pPr>
        <w:spacing w:after="120" w:line="320"/>
        <w:jc w:val="both"/>
      </w:pPr>
      <w:r>
        <w:rPr>
          <w:b/>
          <w:bCs/>
        </w:rPr>
        <w:t xml:space="preserve">Renda: </w:t>
      </w:r>
      <w:r>
        <w:t xml:space="preserve">R$ 25-50 mil/mês. A empresa pode pagar parte ou todo o curso.</w:t>
      </w:r>
    </w:p>
    <w:p>
      <w:pPr>
        <w:spacing w:after="120" w:line="320"/>
        <w:jc w:val="both"/>
      </w:pPr>
      <w:r>
        <w:rPr>
          <w:b/>
          <w:bCs/>
        </w:rPr>
        <w:t xml:space="preserve">Eixo emocional dominante: </w:t>
      </w:r>
      <w:r>
        <w:t xml:space="preserve">autoridade institucional — consolidar posição, ser respeitada, chegar à diretoria.</w:t>
      </w:r>
    </w:p>
    <w:p>
      <w:pPr>
        <w:pStyle w:val="Heading3"/>
        <w:spacing w:after="120" w:before="220"/>
      </w:pPr>
      <w:r>
        <w:t xml:space="preserve">3 dores principais</w:t>
      </w:r>
    </w:p>
    <w:p>
      <w:pPr>
        <w:spacing w:after="120" w:line="320"/>
        <w:jc w:val="both"/>
      </w:pPr>
      <w:r>
        <w:rPr>
          <w:b/>
          <w:bCs/>
        </w:rPr>
        <w:t xml:space="preserve">Dor 1 — Ser refém do escritório externo e não conseguir liderar conversas estratégicas. </w:t>
      </w:r>
      <w:r>
        <w:t xml:space="preserve">Quando a empresa contrata uma operação estruturada, ela recebe a estrutura pronta do escritório externo. Sente que paga muito caro para receber soluções que ela mesma deveria conseguir desenhar — ou pelo menos avaliar criticamente. Hoje ela revisa, mas não constrói. Em paralelo, a diretoria olha para ela esperando respostas sobre ESG, transição climática, rastreabilidade socioambiental e novas regras da CVM — e ela está aprendendo na marra, com material disperso, sentindo que não tem repertório estruturado para liderar essas conversas.</w:t>
      </w:r>
    </w:p>
    <w:p>
      <w:pPr>
        <w:spacing w:after="120" w:line="320"/>
        <w:jc w:val="both"/>
      </w:pPr>
      <w:r>
        <w:rPr>
          <w:b/>
          <w:bCs/>
        </w:rPr>
        <w:t xml:space="preserve">Dor 2 — Plateau de carreira e equipe defasada. </w:t>
      </w:r>
      <w:r>
        <w:t xml:space="preserve">Está há 4-6 anos como gerente. Quer chegar a Diretora Jurídica ou Head Jurídico do grupo, mas para isso precisa demonstrar visão estratégica, não só execução técnica. Em paralelo, os 2-3 advogados que reportam a ela são bons em contratos e contencioso, mas crus em mercado de capitais e ESG sofisticado. Treinar quem ela mesma não dominou é frustrante e a impede de delegar com tranquilidade.</w:t>
      </w:r>
    </w:p>
    <w:p>
      <w:pPr>
        <w:spacing w:after="120" w:line="320"/>
        <w:jc w:val="both"/>
      </w:pPr>
      <w:r>
        <w:rPr>
          <w:b/>
          <w:bCs/>
        </w:rPr>
        <w:t xml:space="preserve">Dor 3 — Tempo escasso, tolerância zero a curso fraco, e política interna para aprovar o investimento. </w:t>
      </w:r>
      <w:r>
        <w:t xml:space="preserve">Trabalha 50-60h por semana, tem família, já fez cursos que decepcionaram e está cética. Cada hora de estudo precisa ter densidade real. Além disso, para a empresa pagar (ou cofinanciar), ela precisa justificar formalmente — precisa de argumentos institucionais sólidos: marca da escola, endosso de mercado, retorno mensurável. Não pode ser um curso que pareça auto-investimento pessoal disfarçado de capacitação corporativa.</w:t>
      </w:r>
    </w:p>
    <w:p>
      <w:pPr>
        <w:pStyle w:val="Heading3"/>
        <w:spacing w:after="120" w:before="220"/>
      </w:pPr>
      <w:r>
        <w:t xml:space="preserve">Estratégias por dor</w:t>
      </w:r>
    </w:p>
    <w:p>
      <w:pPr>
        <w:spacing w:after="120" w:line="320"/>
        <w:jc w:val="both"/>
      </w:pPr>
      <w:r>
        <w:rPr>
          <w:b/>
          <w:bCs/>
        </w:rPr>
        <w:t xml:space="preserve">Para a Dor 1 (refém do escritório externo + ESG): </w:t>
      </w:r>
      <w:r>
        <w:t xml:space="preserve">posicionar o curso como “a formação que coloca você do mesmo lado da mesa que os escritórios full service que sua empresa contrata”. Não é para virar advogada externa — é para parar de ser refém deles. Conteúdo do tipo “como avaliar criticamente uma estruturação de CRA proposta pelo escritório” é altamente atrativo. Para o eixo ESG, explorar o terreno onde o IDP é claramente superior: Brasília é o epicentro regulatório, e os professores têm acesso direto a quem desenha a regulação. Webinars com ex-presidente do Ibama (que está no corpo docente do LLM) são munição forte para esse perfil.</w:t>
      </w:r>
    </w:p>
    <w:p>
      <w:pPr>
        <w:spacing w:after="120" w:line="320"/>
        <w:jc w:val="both"/>
      </w:pPr>
      <w:r>
        <w:rPr>
          <w:b/>
          <w:bCs/>
        </w:rPr>
        <w:t xml:space="preserve">Para a Dor 2 (plateau + equipe defasada): </w:t>
      </w:r>
      <w:r>
        <w:t xml:space="preserve">comunicar como “credencial executiva”, não como “especialização técnica”. Linguagem de leadership: “domine as conversas estratégicas de ESG, financiamento e compliance que estão acontecendo no comitê executivo do seu grupo”. Mostrar perfis de alunos que se promoveram após a formação. Para a equipe, oferecer argumento que ela leva para a empresa: o investimento na Beatriz se desdobra em capacitação de toda a equipe via repasse de conteúdo, biblioteca de referência e novos protocolos. Eventualmente, condições especiais para empresas que enviem múltiplos colaboradores.</w:t>
      </w:r>
    </w:p>
    <w:p>
      <w:pPr>
        <w:spacing w:after="120" w:line="320"/>
        <w:jc w:val="both"/>
      </w:pPr>
      <w:r>
        <w:rPr>
          <w:b/>
          <w:bCs/>
        </w:rPr>
        <w:t xml:space="preserve">Para a Dor 3 (tempo escasso + política interna): </w:t>
      </w:r>
      <w:r>
        <w:t xml:space="preserve">comunicar densidade — “cada disciplina é desenhada para profissionais que não têm tempo a perder, mínimo de teoria filosófica, máximo de aplicação prática”. Mostrar o formato híbrido como vantagem (online ao vivo + presenciais concentrados, sem deslocamento semanal). Criar um material de “cartão de visitas corporativo” — um PDF intitulado “Guia para apresentação interna: por que o LLM do IDP justifica investimento da empresa”, com dados de retorno do conhecimento, marca institucional, comparação com mercado e até template de e-mail que ela pode adaptar para enviar ao RH ou diretor. Isso reduz drasticamente a fricção do “como vou justificar isso para o meu chefe”.</w:t>
      </w:r>
    </w:p>
    <w:p>
      <w:pPr>
        <w:pStyle w:val="Heading3"/>
        <w:spacing w:after="120" w:before="220"/>
      </w:pPr>
      <w:r>
        <w:t xml:space="preserve">Canal e ciclo de venda</w:t>
      </w:r>
    </w:p>
    <w:p>
      <w:pPr>
        <w:spacing w:after="120" w:line="320"/>
        <w:jc w:val="both"/>
      </w:pPr>
      <w:r>
        <w:t xml:space="preserve">Beatriz é encontrada principalmente no LinkedIn (orgânico e pago), e via webinars temáticos (ESG no agro, mercado de capitais aplicado, reforma tributária no agro). Vai converter mais por conteúdo profundo do que por anúncio direto. Ciclo de venda estimado: 45-90 dias se for autopagante; 30-60 dias se a empresa banca (mas com mais etapas de aprovação). Importante ter um consultor preparado para falar com RH e financeiro da empresa dela, não só com ela.</w:t>
      </w:r>
    </w:p>
    <w:p>
      <w:pPr>
        <w:pStyle w:val="Heading2"/>
        <w:spacing w:after="160" w:before="280"/>
      </w:pPr>
      <w:r>
        <w:t xml:space="preserve">Persona 3 — Carlos, o Sucessor Familiar</w:t>
      </w:r>
    </w:p>
    <w:p>
      <w:pPr>
        <w:spacing w:after="120" w:line="320"/>
        <w:jc w:val="both"/>
      </w:pPr>
      <w:r>
        <w:rPr>
          <w:b/>
          <w:bCs/>
        </w:rPr>
        <w:t xml:space="preserve">Perfil: </w:t>
      </w:r>
      <w:r>
        <w:t xml:space="preserve">28 anos, filho de produtor rural de médio/grande porte (fazenda de 2-10 mil hectares em GO, MT, MS ou interior de SP), formou-se em Direito por escolha estratégica — a família quer alguém com formação jurídica para profissionalizar a gestão patrimonial e sucessória, evitar problemas tributários, e estruturar a transição da fazenda para a próxima geração. Pode ou não advogar; o foco real é cuidar do patrimônio familiar.</w:t>
      </w:r>
    </w:p>
    <w:p>
      <w:pPr>
        <w:spacing w:after="120" w:line="320"/>
        <w:jc w:val="both"/>
      </w:pPr>
      <w:r>
        <w:rPr>
          <w:b/>
          <w:bCs/>
        </w:rPr>
        <w:t xml:space="preserve">Renda: </w:t>
      </w:r>
      <w:r>
        <w:t xml:space="preserve">Variável. A família tem orçamento confortável e geralmente paga o curso. Carlos é exigente — detesta curso “água com açúcar”.</w:t>
      </w:r>
    </w:p>
    <w:p>
      <w:pPr>
        <w:spacing w:after="120" w:line="320"/>
        <w:jc w:val="both"/>
      </w:pPr>
      <w:r>
        <w:rPr>
          <w:b/>
          <w:bCs/>
        </w:rPr>
        <w:t xml:space="preserve">Eixo emocional dominante: </w:t>
      </w:r>
      <w:r>
        <w:t xml:space="preserve">responsabilidade familiar — proteger o patrimônio, honrar a expectativa, preparar a sucessão.</w:t>
      </w:r>
    </w:p>
    <w:p>
      <w:pPr>
        <w:pStyle w:val="Heading3"/>
        <w:spacing w:after="120" w:before="220"/>
      </w:pPr>
      <w:r>
        <w:t xml:space="preserve">3 dores principais</w:t>
      </w:r>
    </w:p>
    <w:p>
      <w:pPr>
        <w:spacing w:after="120" w:line="320"/>
        <w:jc w:val="both"/>
      </w:pPr>
      <w:r>
        <w:rPr>
          <w:b/>
          <w:bCs/>
        </w:rPr>
        <w:t xml:space="preserve">Dor 1 — Peso da expectativa familiar combinado com defasagem da graduação. </w:t>
      </w:r>
      <w:r>
        <w:t xml:space="preserve">A família investiu na formação dele com objetivo claro: ele vai cuidar do patrimônio. Errar uma estruturação de holding ou uma sucessão pode custar milhões de reais em tributo a mais. A dor é o medo de falhar com algo que não tem espaço para erro. E o problema é que a faculdade de Direito não preparou ele para isso — ensinou teoria geral, processo civil, penal, mas não holding patrimonial, ITR, CAR, planejamento sucessório rural ou contratos agrários complexos. Está aprendendo com o contador da família, com o advogado terceirizado da fazenda, com vídeos no YouTube. Sente que esse aprendizado fragmentado é frágil para a responsabilidade que carrega.</w:t>
      </w:r>
    </w:p>
    <w:p>
      <w:pPr>
        <w:spacing w:after="120" w:line="320"/>
        <w:jc w:val="both"/>
      </w:pPr>
      <w:r>
        <w:rPr>
          <w:b/>
          <w:bCs/>
        </w:rPr>
        <w:t xml:space="preserve">Dor 2 — Não ser levado a sério no setor e enfrentar pressão da sucessão iminente. </w:t>
      </w:r>
      <w:r>
        <w:t xml:space="preserve">Tem 28 anos, é herdeiro, sem experiência consolidada. Quando vai numa reunião com gerente do banco, consultor tributário, advogado da terra vizinha, sente que não é tratado como interlocutor de igual para igual — é “o filho do fulano”. Em paralelo, o pai tem 60+ anos e a família já está conversando sobre estruturação patrimonial: holding, doação em vida, partilha. Carlos sabe que essa estruturação tem janela de tempo (precisa ser feita antes de fato sucessório, e idealmente antes de mudanças tributárias previstas). Tem urgência real, mas mansa.</w:t>
      </w:r>
    </w:p>
    <w:p>
      <w:pPr>
        <w:spacing w:after="120" w:line="320"/>
        <w:jc w:val="both"/>
      </w:pPr>
      <w:r>
        <w:rPr>
          <w:b/>
          <w:bCs/>
        </w:rPr>
        <w:t xml:space="preserve">Dor 3 — Medo de virar advogado de escritório e solidão geracional. </w:t>
      </w:r>
      <w:r>
        <w:t xml:space="preserve">Ele não quer “advogar” no sentido convencional. Não quer ser empregado de banca, não quer pegar contencioso. Mas tem medo que a pós-graduação o empurre para esse caminho. Quer formação técnica de elite mantendo sua identidade de homem da fazenda + jurista. Em paralelo, sente solidão geracional: os amigos da faculdade viraram advogados de banca, juízes, MP. Ele virou “gestor de patrimônio rural com OAB”. Sente falta de uma comunidade de pares — outros sucessores, outros herdeiros, outros que combinam Direito com fazenda.</w:t>
      </w:r>
    </w:p>
    <w:p>
      <w:pPr>
        <w:pStyle w:val="Heading3"/>
        <w:spacing w:after="120" w:before="220"/>
      </w:pPr>
      <w:r>
        <w:t xml:space="preserve">Estratégias por dor</w:t>
      </w:r>
    </w:p>
    <w:p>
      <w:pPr>
        <w:spacing w:after="120" w:line="320"/>
        <w:jc w:val="both"/>
      </w:pPr>
      <w:r>
        <w:rPr>
          <w:b/>
          <w:bCs/>
        </w:rPr>
        <w:t xml:space="preserve">Para a Dor 1 (expectativa familiar + defasagem da graduação): </w:t>
      </w:r>
      <w:r>
        <w:t xml:space="preserve">posicionar o curso como “investimento que protege décadas de patrimônio”. Linguagem patrimonial, não acadêmica. O argumento “o curso custa R$ 33 mil; uma sucessão mal estruturada pode custar R$ 5 milhões em tributo extra” ressoa muito com Carlos e com a família dele. Para a defasagem, comunicar o curso como “a formação que faltou na sua faculdade” — listar tópicos práticos que ele sabe que precisa: holding rural, ITR, CAR, sucessão, contratos agrários, regularização fundiária. Mostrar que esses tópicos têm peso real na grade. Conteúdo do tipo “10 coisas que sua faculdade de Direito não te ensinou sobre patrimônio rural — e que decidem o futuro da fazenda”.</w:t>
      </w:r>
    </w:p>
    <w:p>
      <w:pPr>
        <w:spacing w:after="120" w:line="320"/>
        <w:jc w:val="both"/>
      </w:pPr>
      <w:r>
        <w:rPr>
          <w:b/>
          <w:bCs/>
        </w:rPr>
        <w:t xml:space="preserve">Para a Dor 2 (não ser levado a sério + sucessão iminente): </w:t>
      </w:r>
      <w:r>
        <w:t xml:space="preserve">trabalhar pesado o ângulo de credencial. “LLM” soa internacional, executivo, sério — usar isso a favor. Mostrar fotos, depoimentos e cases de alunos jovens da turma que claramente são filhos de produtor. Comunicar que o IDP é a escola onde a família dele já reconhece o nome. Para a sucessão, conteúdo educativo sério sobre janelas tributárias e mudanças legislativas previstas (reforma tributária impactando agro, ITCMD, doações). Webinar específico: “Sucessão rural em 2026-2028: a janela está se fechando”. Esse conteúdo serve duplo propósito — educa Carlos e dá a ele material para mostrar ao pai e justificar o investimento.</w:t>
      </w:r>
    </w:p>
    <w:p>
      <w:pPr>
        <w:spacing w:after="120" w:line="320"/>
        <w:jc w:val="both"/>
      </w:pPr>
      <w:r>
        <w:rPr>
          <w:b/>
          <w:bCs/>
        </w:rPr>
        <w:t xml:space="preserve">Para a Dor 3 (medo de virar advogado de escritório + solidão geracional): </w:t>
      </w:r>
      <w:r>
        <w:t xml:space="preserve">comunicação cuidadosa: o curso não te transforma em advogado de banca. Ele te transforma em jurista qualificado para gerir patrimônio sofisticado. Mostrar perfis de alunos que continuam ligados à fazenda, à família, ao agro. Para a solidão geracional — provavelmente o ângulo mais subutilizado e mais poderoso para esse perfil — comunicar a turma como “comunidade de sucessores, jurídicos de família, gestores patrimoniais do agro”. Eventos paralelos ao curso, encontros informais, grupo de alumni segmentado por perfil. Esse argumento converte muito melhor com Carlos do que “networking corporativo”.</w:t>
      </w:r>
    </w:p>
    <w:p>
      <w:pPr>
        <w:pStyle w:val="Heading3"/>
        <w:spacing w:after="120" w:before="220"/>
      </w:pPr>
      <w:r>
        <w:t xml:space="preserve">Canal e ciclo de venda</w:t>
      </w:r>
    </w:p>
    <w:p>
      <w:pPr>
        <w:spacing w:after="120" w:line="320"/>
        <w:jc w:val="both"/>
      </w:pPr>
      <w:r>
        <w:t xml:space="preserve">Carlos é encontrado em Instagram, YouTube e Facebook (consome muito conteúdo do agro nessas plataformas), em feiras setoriais (Agrishow, Show Rural, Tecnoshow Comigo), e por indicação de consultores da família (contador, advogado da fazenda — que muitas vezes são os primeiros a recomendar a pós). Decisão familiar: ele decide, mas valida com o pai. Ciclo de venda estimado: 60-120 dias, com possibilidade de aceleração se houver evento gatilho. Estratégia: ter presença em pelo menos 2-3 feiras agro grandes do ano com material institucional e alunos da turma fazendo ativação humana.</w:t>
      </w:r>
    </w:p>
    <w:p>
      <w:pPr>
        <w:pStyle w:val="Heading1"/>
        <w:spacing w:after="200" w:before="360"/>
      </w:pPr>
      <w:r>
        <w:t xml:space="preserve">Síntese Estratégica</w:t>
      </w:r>
    </w:p>
    <w:p>
      <w:pPr>
        <w:pStyle w:val="Heading2"/>
        <w:spacing w:after="160" w:before="280"/>
      </w:pPr>
      <w:r>
        <w:t xml:space="preserve">Eixos emocionais por persona</w:t>
      </w:r>
    </w:p>
    <w:p>
      <w:pPr>
        <w:spacing w:after="120" w:line="320"/>
        <w:jc w:val="both"/>
      </w:pPr>
      <w:r>
        <w:t xml:space="preserve">Cada persona é movida por um eixo emocional distinto. A comunicação genérica falha justamente porque tenta falar com os três ao mesmo tempo: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line="280"/>
            </w:pPr>
            <w:r>
              <w:rPr>
                <w:b/>
                <w:bCs/>
                <w:sz w:val="20"/>
                <w:szCs w:val="20"/>
              </w:rPr>
              <w:t xml:space="preserve">Persona</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line="280"/>
            </w:pPr>
            <w:r>
              <w:rPr>
                <w:b/>
                <w:bCs/>
                <w:sz w:val="20"/>
                <w:szCs w:val="20"/>
              </w:rPr>
              <w:t xml:space="preserve">Eixo emocional</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line="280"/>
            </w:pPr>
            <w:r>
              <w:rPr>
                <w:b/>
                <w:bCs/>
                <w:sz w:val="20"/>
                <w:szCs w:val="20"/>
              </w:rPr>
              <w:t xml:space="preserve">Argumento-chave</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line="280"/>
            </w:pPr>
            <w:r>
              <w:rPr>
                <w:b/>
                <w:bCs/>
                <w:sz w:val="20"/>
                <w:szCs w:val="20"/>
              </w:rPr>
              <w:t xml:space="preserve">Canal dominante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bCs/>
                <w:sz w:val="20"/>
                <w:szCs w:val="20"/>
              </w:rPr>
              <w:t xml:space="preserve">Rafael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Ambição racional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Pare de terceirizar as operações mais lucrativas da sua carteira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Google + LinkedIn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bCs/>
                <w:sz w:val="20"/>
                <w:szCs w:val="20"/>
              </w:rPr>
              <w:t xml:space="preserve">Beatriz</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Autoridade institucional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Lidere as conversas de ESG e financiamento que sua empresa está tendo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LinkedIn + webinars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bCs/>
                <w:sz w:val="20"/>
                <w:szCs w:val="20"/>
              </w:rPr>
              <w:t xml:space="preserve">Carlos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Responsabilidade familiar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Proteja décadas de patrimônio da sua família com formação séria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line="280"/>
            </w:pPr>
            <w:r>
              <w:rPr>
                <w:b w:val="false"/>
                <w:bCs w:val="false"/>
                <w:sz w:val="20"/>
                <w:szCs w:val="20"/>
              </w:rPr>
              <w:t xml:space="preserve">Instagram + feiras</w:t>
            </w:r>
          </w:p>
        </w:tc>
      </w:tr>
    </w:tbl>
    <w:p>
      <w:r>
        <w:t xml:space="preserve"/>
      </w:r>
    </w:p>
    <w:p>
      <w:pPr>
        <w:pStyle w:val="Heading2"/>
        <w:spacing w:after="160" w:before="280"/>
      </w:pPr>
      <w:r>
        <w:t xml:space="preserve">Recomendação operacional</w:t>
      </w:r>
    </w:p>
    <w:p>
      <w:pPr>
        <w:spacing w:after="120" w:line="320"/>
        <w:jc w:val="both"/>
      </w:pPr>
      <w:r>
        <w:t xml:space="preserve">A LP única do IDP precisa falar com os três sem diluir nenhum. A solução prática é manter um topo amplo que ressoe com os três (Brasília, regulação, autoridade jurídica no agro), mas criar trilhas de conteúdo segmentadas após a captura. O e-mail que Rafael recebe, a sequência de Beatriz, e a jornada de Carlos não devem ser iguais. O guia do curso pode até ser o mesmo, mas os e-mails, anúncios de remarketing, convites para webinars e abordagem do consultor precisam variar.</w:t>
      </w:r>
    </w:p>
    <w:p>
      <w:pPr>
        <w:spacing w:after="120" w:line="320"/>
        <w:jc w:val="both"/>
      </w:pPr>
      <w:r>
        <w:rPr>
          <w:b/>
          <w:bCs/>
        </w:rPr>
        <w:t xml:space="preserve">Pergunta central que define o sucesso da operação: </w:t>
      </w:r>
      <w:r>
        <w:rPr>
          <w:i/>
          <w:iCs/>
        </w:rPr>
        <w:t xml:space="preserve">quando o consultor liga, ele sabe se está falando com Rafael, Beatriz ou Carlos? Se sim, a operação está azeitada. Se não, está-se queimando lead.</w:t>
      </w:r>
    </w:p>
    <w:p>
      <w:pPr>
        <w:pStyle w:val="Heading2"/>
        <w:spacing w:after="160" w:before="280"/>
      </w:pPr>
      <w:r>
        <w:t xml:space="preserve">Próximos passos sugeridos</w:t>
      </w:r>
    </w:p>
    <w:p>
      <w:pPr>
        <w:pStyle w:val="ListParagraph"/>
        <w:numPr>
          <w:ilvl w:val="0"/>
          <w:numId w:val="2"/>
        </w:numPr>
        <w:spacing w:after="80" w:line="320"/>
        <w:jc w:val="both"/>
      </w:pPr>
      <w:r>
        <w:t xml:space="preserve">Refazer a LP do IDP incorporando o ângulo “Brasília como epicentro regulatório do agro”.</w:t>
      </w:r>
    </w:p>
    <w:p>
      <w:pPr>
        <w:pStyle w:val="ListParagraph"/>
        <w:numPr>
          <w:ilvl w:val="0"/>
          <w:numId w:val="2"/>
        </w:numPr>
        <w:spacing w:after="80" w:line="320"/>
        <w:jc w:val="both"/>
      </w:pPr>
      <w:r>
        <w:t xml:space="preserve">Criar três trilhas de anúncio segmentadas por persona, com criativos distintos.</w:t>
      </w:r>
    </w:p>
    <w:p>
      <w:pPr>
        <w:pStyle w:val="ListParagraph"/>
        <w:numPr>
          <w:ilvl w:val="0"/>
          <w:numId w:val="2"/>
        </w:numPr>
        <w:spacing w:after="80" w:line="320"/>
        <w:jc w:val="both"/>
      </w:pPr>
      <w:r>
        <w:t xml:space="preserve">Desenvolver provas sociais específicas do LLM em Agro: depoimentos da primeira turma, lista de empresas/escritórios onde os alunos atuam, e pelo menos um case com número que dê materialidade ao curso.</w:t>
      </w:r>
    </w:p>
    <w:p>
      <w:pPr>
        <w:pStyle w:val="ListParagraph"/>
        <w:numPr>
          <w:ilvl w:val="0"/>
          <w:numId w:val="2"/>
        </w:numPr>
        <w:spacing w:after="80" w:line="320"/>
        <w:jc w:val="both"/>
      </w:pPr>
      <w:r>
        <w:t xml:space="preserve">Construir o material “cartão de visitas corporativo” para Beatriz justificar o curso à empresa dela.</w:t>
      </w:r>
    </w:p>
    <w:p>
      <w:pPr>
        <w:pStyle w:val="ListParagraph"/>
        <w:numPr>
          <w:ilvl w:val="0"/>
          <w:numId w:val="2"/>
        </w:numPr>
        <w:spacing w:after="80" w:line="320"/>
        <w:jc w:val="both"/>
      </w:pPr>
      <w:r>
        <w:t xml:space="preserve">Treinar o consultor de vendas para qualificar lead nas três personas logo no primeiro contato — adaptar discurso, argumentos de objeção e timing de fechamento.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LLM Agronegócio IDP — Material Estratégico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2026-05-04T19:01:33.635Z</dcterms:created>
  <dcterms:modified xsi:type="dcterms:W3CDTF">2026-05-04T19:01:33.635Z</dcterms:modified>
</cp:coreProperties>
</file>

<file path=docProps/custom.xml><?xml version="1.0" encoding="utf-8"?>
<Properties xmlns="http://schemas.openxmlformats.org/officeDocument/2006/custom-properties" xmlns:vt="http://schemas.openxmlformats.org/officeDocument/2006/docPropsVTypes"/>
</file>