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2E75B6"/>
          <w:sz w:val="28"/>
          <w:szCs w:val="28"/>
        </w:rPr>
        <w:t xml:space="preserve">ServiceNow ITOM</w:t>
      </w:r>
    </w:p>
    <w:p>
      <w:pPr>
        <w:pBdr>
          <w:bottom w:val="single" w:color="1F4E79" w:sz="8" w:space="8"/>
        </w:pBdr>
        <w:spacing w:after="0" w:before="80"/>
      </w:pPr>
      <w:r>
        <w:rPr>
          <w:b/>
          <w:bCs/>
          <w:color w:val="1F4E79"/>
          <w:sz w:val="56"/>
          <w:szCs w:val="56"/>
        </w:rPr>
        <w:t xml:space="preserve">Technical Design Document</w:t>
      </w:r>
    </w:p>
    <w:p>
      <w:pPr>
        <w:spacing w:after="0" w:before="160"/>
      </w:pPr>
      <w:r>
        <w:rPr>
          <w:color w:val="595959"/>
          <w:sz w:val="30"/>
          <w:szCs w:val="30"/>
        </w:rPr>
        <w:t xml:space="preserve">Discovery &amp; CMDB — Desenho Técnico da Solução</w:t>
      </w:r>
    </w:p>
    <w:p>
      <w:pPr>
        <w:spacing w:after="0" w:before="900"/>
      </w:pPr>
      <w:r>
        <w:rPr>
          <w:b/>
          <w:bCs/>
          <w:sz w:val="22"/>
          <w:szCs w:val="22"/>
        </w:rPr>
        <w:t xml:space="preserve">Cliente: </w:t>
      </w:r>
      <w:r>
        <w:rPr>
          <w:color w:val="C00000"/>
          <w:sz w:val="22"/>
          <w:szCs w:val="22"/>
        </w:rPr>
        <w:t xml:space="preserve">〔nome do cliente〕</w:t>
      </w:r>
    </w:p>
    <w:p>
      <w:pPr>
        <w:spacing w:before="60"/>
      </w:pPr>
      <w:r>
        <w:rPr>
          <w:b/>
          <w:bCs/>
          <w:sz w:val="22"/>
          <w:szCs w:val="22"/>
        </w:rPr>
        <w:t xml:space="preserve">Projeto / SOW: </w:t>
      </w:r>
      <w:r>
        <w:rPr>
          <w:color w:val="C00000"/>
          <w:sz w:val="22"/>
          <w:szCs w:val="22"/>
        </w:rPr>
        <w:t xml:space="preserve">〔identificação〕</w:t>
      </w:r>
    </w:p>
    <w:p>
      <w:pPr>
        <w:spacing w:before="60"/>
      </w:pPr>
      <w:r>
        <w:rPr>
          <w:b/>
          <w:bCs/>
          <w:sz w:val="22"/>
          <w:szCs w:val="22"/>
        </w:rPr>
        <w:t xml:space="preserve">Release-alvo da plataforma: </w:t>
      </w:r>
      <w:r>
        <w:rPr>
          <w:color w:val="C00000"/>
          <w:sz w:val="22"/>
          <w:szCs w:val="22"/>
        </w:rPr>
        <w:t xml:space="preserve">〔ex.: Zurich / Yokohama / Xanadu〕</w:t>
      </w:r>
    </w:p>
    <w:p>
      <w:pPr>
        <w:spacing w:before="60"/>
      </w:pPr>
      <w:r>
        <w:rPr>
          <w:b/>
          <w:bCs/>
          <w:sz w:val="22"/>
          <w:szCs w:val="22"/>
        </w:rPr>
        <w:t xml:space="preserve">Autora: </w:t>
      </w:r>
      <w:r>
        <w:rPr>
          <w:color w:val="C00000"/>
          <w:sz w:val="22"/>
          <w:szCs w:val="22"/>
        </w:rPr>
        <w:t xml:space="preserve">〔consultora responsável〕</w:t>
      </w:r>
    </w:p>
    <w:p>
      <w:pPr>
        <w:spacing w:before="60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</w:t>
      </w:r>
    </w:p>
    <w:p>
      <w:r>
        <w:br w:type="page"/>
      </w:r>
    </w:p>
    <w:p>
      <w:pPr>
        <w:pStyle w:val="Heading1"/>
      </w:pPr>
      <w:r>
        <w:t xml:space="preserve">Controle de Versão e Aprovações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700"/>
        <w:gridCol w:w="3526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Autor(a)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 da alteração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〔dd/mm/aaaa〕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〔autor〕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Versão inicial — draft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Em elaboração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Aprovadores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00"/>
        <w:gridCol w:w="2200"/>
        <w:gridCol w:w="18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Organização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/ Assinatura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Sponsor do projeto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Architecture Review Board / CTO Office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Process Owner — Configuration Management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Líder técnico ITOM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Propósito</w:t>
      </w:r>
    </w:p>
    <w:p>
      <w:pPr>
        <w:spacing w:after="120" w:before="0" w:line="276"/>
      </w:pPr>
      <w:r>
        <w:t xml:space="preserve">Este documento descreve o desenho técnico da solução de Discovery e CMDB no ServiceNow para o cliente, estabelecendo a arquitetura-alvo, as decisões de modelagem de dados, a estratégia de identificação/reconciliação e os controles de governança que sustentam a qualidade da CMDB ao longo do ciclo de vida. Serve como referência técnica de implementação e como baseline para revisões de arquitetura e auditoria.</w:t>
      </w:r>
    </w:p>
    <w:p>
      <w:pPr>
        <w:pStyle w:val="Heading2"/>
      </w:pPr>
      <w:r>
        <w:t xml:space="preserve">1.2 Escopo</w:t>
      </w:r>
    </w:p>
    <w:p>
      <w:pPr>
        <w:spacing w:after="120" w:before="0" w:line="276"/>
      </w:pPr>
      <w:r>
        <w:t xml:space="preserve">O escopo é definido por capability ITOM e por família (Visibility, Health, Optimization). Cada linha é marcada como em escopo ou não, com a observação correspondente.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400"/>
        <w:gridCol w:w="31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 ITOM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Família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 escopo?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 (horizontal, vertical, cloud)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Servidores, network, storage, apps e recursos cloud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Mapping (top-down / bottom-up)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Serviços de negócio e técnicos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 / CSDM (Foundation)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Pré-requisito transversal de todas as demais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IRE — Identification &amp; Reconciliation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Identificação, reconciliação e dedup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Graph Connectors (SGC)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Ingestão agentless de datasources externos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Certificate Inventory &amp; Management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Descoberta e ciclo de vida de certificados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Firewall Audit &amp; Reporting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Mapeamento de regras de firewall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Event Management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Ingestão, dedup, correlação e supressão de eventos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 Log Analytics (HLA)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Ingestão de logs + anomaly detection (ML)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Metric Intelligence / AIOps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Baseline de métricas, alert grouping, RCA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Operations Workspace (SOW)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Alert-to-incident, playbooks, mapa de saúde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Observability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Telemetria de ambientes cloud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Provisioning &amp; Governance (CMP)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Optimization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Provisionamento e governança multi-cloud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Cost / Insights &amp; Tagging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Optimization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Otimização de custo e governança de tags</w:t>
            </w:r>
          </w:p>
        </w:tc>
      </w:tr>
    </w:tbl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Defina o escopo por capability e família, não por “tudo de ITOM”. Escopo difuso é a causa raiz nº 1 de CMDB suja. CMDB/CSDM e IRE são pré-requisitos transversais — mantenha-os em escopo mesmo em projetos focados em Health/Optimization. Amarre cada item a um outcome mensurável (seção 2.2).</w:t>
      </w:r>
    </w:p>
    <w:p>
      <w:pPr>
        <w:spacing w:after="120" w:before="0" w:line="276"/>
      </w:pPr>
      <w:r>
        <w:rPr>
          <w:color w:val="C00000"/>
        </w:rPr>
        <w:t xml:space="preserve">Exclusões explícitas: 〔liste o que está fora — ex.: integrações SaaS específicas, módulos de outra licença, ambientes/legados não cobertos nesta fase.〕</w:t>
      </w:r>
    </w:p>
    <w:p>
      <w:pPr>
        <w:pStyle w:val="Heading2"/>
      </w:pPr>
      <w:r>
        <w:t xml:space="preserve">1.3 Audiência</w:t>
      </w:r>
    </w:p>
    <w:p>
      <w:pPr>
        <w:spacing w:after="120" w:before="0" w:line="276"/>
      </w:pPr>
      <w:r>
        <w:t xml:space="preserve">Arquitetos de plataforma, administradores ServiceNow, equipes de infraestrutura/cloud, donos de processo de Configuration Management e stakeholders de auditoria/segurança.</w:t>
      </w:r>
    </w:p>
    <w:p>
      <w:pPr>
        <w:pStyle w:val="Heading2"/>
      </w:pPr>
      <w:r>
        <w:t xml:space="preserve">1.4 Referências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CSDM White Paper (versão corrente — atualmente com 7 domínios: Foundation, Ideation &amp; Strategy, Design &amp; Planning, Build &amp; Integration, Service Delivery, Service Consumption, Manage Portfolios) — ServiceNow Community / Best Practices.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Product Documentation — docs.servicenow.com (Discovery, CMDB, IRE, Service Mapping da release-alvo).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ServiceNow Best Practices site (sucessor do Now Create desde 05/12/2025) — Success Packs e Process Guides.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CMDB Data Foundations / CMDB Health — guias de governança e KPIs.</w:t>
      </w:r>
    </w:p>
    <w:p>
      <w:pPr>
        <w:pStyle w:val="Heading2"/>
      </w:pPr>
      <w:r>
        <w:t xml:space="preserve">1.5 Glossário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Configuration Item — registro em cmdb_ci ou classe filha.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CSDM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Common Service Data Model — padrão prescritivo de modelagem da CMDB (não é SKU).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IRE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Identification &amp; Reconciliation Engine — motor de identificação e reconciliação de payloads.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 Server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Management, Instrumentation and Discovery Server — agente de borda para Discovery/integrações.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SGC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Graph Connector — integração agentless que popula a CMDB via IRE.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Authoritative datasource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Fonte declarada dona de um atributo; sobrescreve as demais na reconciliação.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Visão Geral da Solução</w:t>
      </w:r>
    </w:p>
    <w:p>
      <w:pPr>
        <w:pStyle w:val="Heading2"/>
      </w:pPr>
      <w:r>
        <w:t xml:space="preserve">2.1 Situação atual (As-Is)</w:t>
      </w:r>
    </w:p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Descreva fontes de dados atuais da CMDB, nível de automação, sintomas de saúde (duplicatas, staleness, completeness baixa) e dores relatadas. Em projetos de remodelagem, anexe um diagnóstico quantitativo do CMDB Health Dashboard como baseline.</w:t>
      </w:r>
    </w:p>
    <w:p>
      <w:pPr>
        <w:spacing w:after="120" w:before="0" w:line="276"/>
      </w:pPr>
      <w:r>
        <w:rPr>
          <w:color w:val="C00000"/>
        </w:rPr>
        <w:t xml:space="preserve">〔Descrição do ambiente atual, ferramentas legadas, integrações existentes e principais lacunas.〕</w:t>
      </w:r>
    </w:p>
    <w:p>
      <w:pPr>
        <w:pStyle w:val="Heading2"/>
      </w:pPr>
      <w:r>
        <w:t xml:space="preserve">2.2 Objetivos de negócio e outcomes mensuráveis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26"/>
        <w:gridCol w:w="14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de negócio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 / KPI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Confiabilidade da CMDB para ITSM/ITOM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 Health Score (completeness/correctness/compliance)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Redução de duplicatas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Nº de CIs duplicados (cmdb_dedup_task)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〔n〕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〔n〕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Cobertura de Discovery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 de CIs ativos com last_discovered &lt; threshold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Qualidade de impacto em incidentes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 de incidentes com CI/serviço corretamente associado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Redução de MTTR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Tempo médio de resolução de incidentes de infra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〔min〕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〔min〕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Redução de ruído de alertas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Taxa de compressão evento→alerta (correlação/dedup)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〔ratio〕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〔ratio〕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Automação alert-to-incident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 de alertas que geram incidente automaticamente (SOW)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Visibilidade de serviço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Nº de Business Services com mapa de saúde ativo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〔n〕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〔n〕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Otimização de custo cloud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Economia identificada / recursos ociosos (Optimization)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〔R$/%〕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〔R$/%〕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Agilidade de onboarding de fontes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Lead time para integrar novo datasource à CMDB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〔dias〕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〔dias〕</w:t>
            </w:r>
          </w:p>
        </w:tc>
      </w:tr>
    </w:tbl>
    <w:p>
      <w:pPr>
        <w:pStyle w:val="Heading2"/>
      </w:pPr>
      <w:r>
        <w:t xml:space="preserve">2.3 Arquitetura-alvo (To-Be)</w:t>
      </w:r>
    </w:p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Insira aqui o diagrama de arquitetura (instância ServiceNow ↔ MID Servers ↔ redes/datacenters/cloud ↔ datasources externos). Exporte como imagem e use Inserir &gt; Imagem.</w:t>
      </w:r>
    </w:p>
    <w:p>
      <w:pPr>
        <w:spacing w:after="120" w:before="0" w:line="276"/>
      </w:pPr>
      <w:r>
        <w:rPr>
          <w:i/>
          <w:iCs/>
          <w:color w:val="C00000"/>
        </w:rPr>
        <w:t xml:space="preserve">〔Diagrama de arquitetura-alvo.〕</w:t>
      </w:r>
    </w:p>
    <w:p>
      <w:pPr>
        <w:pStyle w:val="Heading2"/>
      </w:pPr>
      <w:r>
        <w:t xml:space="preserve">2.4 Premissas, restrições e dependências</w:t>
      </w:r>
    </w:p>
    <w:p>
      <w:pPr>
        <w:pStyle w:val="Heading3"/>
      </w:pPr>
      <w:r>
        <w:t xml:space="preserve">2.4.1 Premissas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Portas de Discovery liberadas entre MID Servers e alvos conforme matriz de comunicação (SNMP/WMI/SSH/JDBC/HTTPS).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Contas de serviço e credenciais providas pelo cliente e armazenadas em cofre (CyberArk / Key Vault / Secrets Manager).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VMs de MID Server dimensionadas e provisionadas pelo cliente antes do início da fase de Discovery.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Acesso a APIs/roles das contas cloud (AWS/Azure/GCP) para Cloud Discovery e Optimization.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Ferramentas de monitoração/observabilidade do cliente disponibilizam conectores ou endpoints para Event Management/HLA.</w:t>
      </w:r>
    </w:p>
    <w:p>
      <w:pPr>
        <w:pStyle w:val="Heading3"/>
      </w:pPr>
      <w:r>
        <w:t xml:space="preserve">2.4.2 Restrições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Janelas de varredura acordadas para ambientes sensíveis/produtivos.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Segmentação de rede e regras de firewall que exigem MID Server por zona isolada.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Requisitos de compliance/regulatórios (LGPD, segregação de dados, retenção de logs).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Release-alvo da plataforma fixa o conjunto de features disponíveis (ex.: credential-less cloud, CI Class Manager v2).</w:t>
      </w:r>
    </w:p>
    <w:p>
      <w:pPr>
        <w:pStyle w:val="Heading3"/>
      </w:pPr>
      <w:r>
        <w:t xml:space="preserve">2.4.3 Dependências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Provisionamento de VMs de MID Server e conectividade às subnets-alvo.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Aprovação e implementação de regras de firewall pelas áreas de Segurança/Redes.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Definição de fontes autoritativas por atributo em conjunto com os donos de cada sistema.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Disponibilidade dos donos de aplicação para validar Business Apps e dependências (Service Mapping).</w:t>
      </w:r>
    </w:p>
    <w:p>
      <w:pPr>
        <w:pStyle w:val="Heading3"/>
      </w:pPr>
      <w:r>
        <w:t xml:space="preserve">2.4.4 Esforço e responsabilidades do cliente</w:t>
      </w:r>
    </w:p>
    <w:p>
      <w:pPr>
        <w:pBdr>
          <w:left w:val="single" w:color="E0A800" w:sz="18" w:space="8"/>
        </w:pBdr>
        <w:shd w:fill="FFF3CD" w:val="clear"/>
        <w:spacing w:after="140" w:before="60" w:line="264"/>
        <w:ind w:left="120"/>
      </w:pPr>
      <w:r>
        <w:rPr>
          <w:b/>
          <w:bCs/>
          <w:color w:val="8A6100"/>
          <w:sz w:val="18"/>
          <w:szCs w:val="18"/>
        </w:rPr>
        <w:t xml:space="preserve">● Dependência colaborativa  </w:t>
      </w:r>
      <w:r>
        <w:rPr>
          <w:color w:val="5C4400"/>
          <w:sz w:val="18"/>
          <w:szCs w:val="18"/>
        </w:rPr>
        <w:t xml:space="preserve">Este projeto tem forte dependência de ação colaborativa com áreas técnicas e de negócio do cliente — em especial Infraestrutura, Segurança e Observabilidade. O cronograma e a qualidade dos entregáveis dependem diretamente da disponibilidade dessas equipes para liberação de acessos, aprovação de regras, fornecimento de credenciais e validação de dados. Atrasos nessas frentes impactam marcos do projeto e devem ser tratados como risco de cronograma compartilhado, com pontos focais nomeados por área.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26"/>
        <w:gridCol w:w="1300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Área do cliente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Contribuição esperada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se ausente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Liberação de portas, contas de serviço, inventário de credenciais e validação de CIs descobertos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 incompleto; CMDB com lacunas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Segurança / SecOps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Aprovação de regras de firewall, política de credenciais/cofre e exceções de scanning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Bloqueio de varredura; atraso de cronograma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Observabilidade / Monitoração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Integração das ferramentas (Dynatrace, Datadog, Splunk, Zabbix etc.) para Event Management/HLA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Event Management sem fonte; AIOps sem dados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Redes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Mapa de subnets, ACLs e definição de posicionamento dos MID Servers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Média/Alta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 mal posicionado; affinity incorreta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/ FinOps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Credenciais/roles cloud, estratégia de tags e acesso a billing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Discovery/Optimization limitado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Donos de aplicação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Validação de Business Apps, entry points e dependências de serviço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Mapping impreciso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Identidade / IAM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Provisionamento de contas de serviço, SSO e roles na plataforma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Atraso na liberação de acessos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Estratégia de CMDB e Alinhamento CSDM</w:t>
      </w:r>
    </w:p>
    <w:p>
      <w:pPr>
        <w:pStyle w:val="Heading2"/>
      </w:pPr>
      <w:r>
        <w:t xml:space="preserve">3.1 Princípios de governança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Configuração sobre customização: estender a classe mais específica possível; nunca estender cmdb_ci diretamente.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CMDB precede workflow: a acurácia da CMDB é pré-requisito (ou paralela) à configuração de processos, não tarefa pós-go-live.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Toda classe em escopo tem fonte autoritativa declarada e owner de dados nomeado.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Adoção do CSDM por estágios — crawl, walk, run, fly — nunca todos os domínios de uma vez.</w:t>
      </w:r>
    </w:p>
    <w:p>
      <w:pPr>
        <w:pStyle w:val="Heading2"/>
      </w:pPr>
      <w:r>
        <w:t xml:space="preserve">3.2 Domínios CSDM em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3126"/>
        <w:gridCol w:w="18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Domínio CSDM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 escopo?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Classes/objetos-chave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cmdb_ci_*, location, cmn_department, sys_user_group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Base referencial; pré-requisito dos demais.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Manage Technical Services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cmdb_ci_service_discovered, cmdb_ci_appl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Serviços técnicos descobertos.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Delivery / Design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cmdb_ci_business_app, service_offering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Mapeamento de aplicação de negócio.</w:t>
            </w:r>
          </w:p>
        </w:tc>
      </w:tr>
    </w:tbl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A nomenclatura/contagem de domínios varia por versão do white paper CSDM (a versão corrente trabalha com 7 domínios). Confirme contra o white paper vigente e ajuste a tabela.</w:t>
      </w:r>
    </w:p>
    <w:p>
      <w:pPr>
        <w:pStyle w:val="Heading2"/>
      </w:pPr>
      <w:r>
        <w:t xml:space="preserve">3.3 Estratégia de classes de 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226"/>
        <w:gridCol w:w="1300"/>
        <w:gridCol w:w="13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 (cmdb_ci_*)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 autoritativa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de população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 de dados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 CSDM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cmdb_ci_linux_server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Horizontal (SSH) + pattern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〔time infra〕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cmdb_ci_win_server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Horizontal (WMI) + pattern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〔time infra〕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cmdb_ci_vm_instance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(API)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Discovery / SGC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〔time cloud〕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cmdb_ci_business_app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Manual / APM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CSDM wizard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〔dono de app〕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Design</w:t>
            </w:r>
          </w:p>
        </w:tc>
      </w:tr>
    </w:tbl>
    <w:p>
      <w:pPr>
        <w:pStyle w:val="Heading2"/>
      </w:pPr>
      <w:r>
        <w:t xml:space="preserve">3.4 Política de extensão de classe</w:t>
      </w:r>
    </w:p>
    <w:p>
      <w:pPr>
        <w:spacing w:after="120" w:before="0" w:line="276"/>
      </w:pPr>
      <w:r>
        <w:t xml:space="preserve">Extensões via CI Class Manager (recomendado Tokyo+). Atributos novos em sys_dictionary vinculados à classe específica. Extensão sem alinhamento CSDM quebra KPIs de CMDB Health e relatórios de compliance — toda extensão passa por revisão de arquitetura.</w:t>
      </w:r>
    </w:p>
    <w:p>
      <w:pPr>
        <w:pStyle w:val="Heading2"/>
      </w:pPr>
      <w:r>
        <w:t xml:space="preserve">3.5 Modelo de relacionamentos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400"/>
        <w:gridCol w:w="18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Relacionamento (parent::child)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rel_type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Reconhecido por Service Mapping?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Runs on::Runs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Aplicação → Host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 roda em servidor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Hosted on::Hosts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 → Hypervisor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Hospedagem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Depends on::Used by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Serviço → Serviço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Dependência lógica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〔customizado〕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〔definir descriptors〕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Relacionamentos duplicados vindos de múltiplos datasources sem reconciliação são fonte comum de ruído — popule o campo source em cmdb_rel_ci e governe por datasource.</w:t>
      </w:r>
    </w:p>
    <w:p>
      <w:pPr>
        <w:pStyle w:val="Heading2"/>
      </w:pPr>
      <w:r>
        <w:t xml:space="preserve">3.6 Separação Asset × CI (touchpoint ITAM)</w:t>
      </w:r>
    </w:p>
    <w:p>
      <w:pPr>
        <w:spacing w:after="120" w:before="0" w:line="276"/>
      </w:pPr>
      <w:r>
        <w:t xml:space="preserve">Ativo (alm_asset) rastreia dados financeiros/contratuais — compra, garantia, custo, ciclo de vida. CI (cmdb_ci) rastreia características técnicas e relacionamentos — OS, software instalado, dependências. Cada ativo de interesse referencia o CI correspondente. Manter os domínios separados conserva ambos os conjuntos limpos e auditáveis e é pré-requisito para SAM/HAM.</w:t>
      </w:r>
    </w:p>
    <w:p>
      <w:r>
        <w:br w:type="page"/>
      </w:r>
    </w:p>
    <w:p>
      <w:pPr>
        <w:pStyle w:val="Heading1"/>
      </w:pPr>
      <w:r>
        <w:t xml:space="preserve">4. Arquitetura de Discovery</w:t>
      </w:r>
    </w:p>
    <w:p>
      <w:pPr>
        <w:pStyle w:val="Heading2"/>
      </w:pPr>
      <w:r>
        <w:t xml:space="preserve">4.1 Tipos de Discovery em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826"/>
        <w:gridCol w:w="18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Protocolo / mecanismo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Escopo-alvo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 escopo?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Horizontal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SNMP, WMI, SSH, JDBC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Servidores, network, storage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Vertical (app)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WMI/SSH + patterns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Apps sobre CIs já conhecidos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APIs nativas (AWS/Azure/GCP)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VMs, instâncias, recursos cloud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Agentless (SGC)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REST/GraphQL → IRE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Datasources externos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Agent-based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ServiceNow Agent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Endpoints offline-friendly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〔Sim/Não〕</w:t>
            </w:r>
          </w:p>
        </w:tc>
      </w:tr>
    </w:tbl>
    <w:p>
      <w:pPr>
        <w:pStyle w:val="Heading2"/>
      </w:pPr>
      <w:r>
        <w:t xml:space="preserve">4.2 Arquitetura de MID Server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Regra base: um MID Server por subnet isolada por firewall.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HA: par Ativo/Passivo com mesmo name (failover automático); mid.cluster.node.name distinto por nó.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Affinity (mid.affinity) por IP range ou Classification — impede MID errado de atender CI crítico.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Sizing/tuning: max.threads (default 25) e glide.discovery.max_concurrent_probes conforme volume.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800"/>
        <w:gridCol w:w="1500"/>
        <w:gridCol w:w="13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MID Server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Datacenter / Subnet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(Active/HA)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Affinity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VM (vCPU/RAM)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mid-〔dc1〕-01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〔10.x.0.0/24〕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〔range〕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〔4/8〕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mid-〔dc1〕-02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〔10.x.0.0/24〕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Passive (HA)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〔range〕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〔4/8〕</w:t>
            </w:r>
          </w:p>
        </w:tc>
      </w:tr>
    </w:tbl>
    <w:p>
      <w:pPr>
        <w:pStyle w:val="Heading2"/>
      </w:pPr>
      <w:r>
        <w:t xml:space="preserve">4.3 Gestão de credenciais</w:t>
      </w:r>
    </w:p>
    <w:p>
      <w:pPr>
        <w:spacing w:after="120" w:before="0" w:line="276"/>
      </w:pPr>
      <w:r>
        <w:t xml:space="preserve">Credenciais em discovery_credentials por tipo (SSH, WMI, SNMP v1/v2/v3, VMware, AWS, etc.), com credential_affinity por CI ou IP range. Para CIs cloud, preferir credential-less (Xanadu+) via Instance Role / Managed Identity, eliminando segredos estáticos. Integração com cofre externo: 〔ex.: CyberArk / Azure Key Vault〕.</w:t>
      </w:r>
    </w:p>
    <w:p>
      <w:pPr>
        <w:pStyle w:val="Heading2"/>
      </w:pPr>
      <w:r>
        <w:t xml:space="preserve">4.4 Discovery 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126"/>
        <w:gridCol w:w="1600"/>
        <w:gridCol w:w="16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Range / fonte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Behavior on conflict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DS-Infra-Linux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Horizontal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〔range〕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Diária 〔hh:mm〕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Merge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DS-Cloud-AWS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〔conta/região〕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〔4h〕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Merge</w:t>
            </w:r>
          </w:p>
        </w:tc>
      </w:tr>
    </w:tbl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Use Merge (não Replace) e habilite include_active_cls para que CIs ativos não sejam removidos por scope vazio. Documente Quick Discovery para validação pós-deploy.</w:t>
      </w:r>
    </w:p>
    <w:p>
      <w:pPr>
        <w:pStyle w:val="Heading2"/>
      </w:pPr>
      <w:r>
        <w:t xml:space="preserve">4.5 Patterns e customizações</w:t>
      </w:r>
    </w:p>
    <w:p>
      <w:pPr>
        <w:spacing w:after="120" w:before="0" w:line="276"/>
      </w:pPr>
      <w:r>
        <w:t xml:space="preserve">Patterns em Pattern Designer (sa_pattern): Entry Point → Operations (Find/Parse/Collect/Identify) → output vars → CI payload. Scripted operations em Jython 2.7. Override de sensor OOTB: clonar pattern, desabilitar original, ativar clone. Debug via Pattern Tester contra IP real. Patterns verticais exigem CI já existente com IP populado.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Customização?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〔nome〕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Horizontal/Vertical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OOTB / Clonado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〔motivo〕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Identification &amp; Reconciliation (IRE)</w:t>
      </w:r>
    </w:p>
    <w:p>
      <w:pPr>
        <w:pStyle w:val="Heading2"/>
      </w:pPr>
      <w:r>
        <w:t xml:space="preserve">5.1 Fluxo IRE</w:t>
      </w:r>
    </w:p>
    <w:p>
      <w:pPr>
        <w:spacing w:after="120" w:before="0" w:line="276"/>
      </w:pPr>
      <w:r>
        <w:rPr>
          <w:sz w:val="20"/>
          <w:szCs w:val="20"/>
        </w:rPr>
        <w:t xml:space="preserve">Payload (Discovery / SGC / Import Set / REST) → Identification Rules por classe → lookup de CI existente → se match: Reconciliation Rules (quem atualiza o quê); se no-match: criação do CI (se datasource autorizado).</w:t>
      </w:r>
    </w:p>
    <w:p>
      <w:pPr>
        <w:pStyle w:val="Heading2"/>
      </w:pPr>
      <w:r>
        <w:t xml:space="preserve">5.2 Identification Rules por classe</w:t>
      </w:r>
    </w:p>
    <w:p>
      <w:pPr>
        <w:spacing w:after="120" w:before="0" w:line="276"/>
      </w:pPr>
      <w:r>
        <w:t xml:space="preserve">Regras em cmdb_identifier_entry. A ordem importa — a primeira regra com match vence. Tipos: Independent (atributos do próprio CI) e Dependent (exige CI pai identificado antes). Atributo de identidade nulo gera match parcial e duplicatas — usar independent_identifier_qualifier para excluir nulos.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1626"/>
        <w:gridCol w:w="19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Atributos de identidade (ordem)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Qualifier (exclui nulos)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cmdb_ci_hardware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serial_number → name+ip_address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Independent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serial_number != ''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cmdb_ci_appl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 pai (host) + name + port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Dependent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name != ''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〔classe〕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〔atributos〕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〔Ind/Dep〕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〔qualifier〕</w:t>
            </w:r>
          </w:p>
        </w:tc>
      </w:tr>
    </w:tbl>
    <w:p>
      <w:pPr>
        <w:pStyle w:val="Heading2"/>
      </w:pPr>
      <w:r>
        <w:t xml:space="preserve">5.3 Reconciliation Rules e datasources autoritativos</w:t>
      </w:r>
    </w:p>
    <w:p>
      <w:pPr>
        <w:spacing w:after="120" w:before="0" w:line="276"/>
      </w:pPr>
      <w:r>
        <w:t xml:space="preserve">Reconciliation em cmdb_reconciliation_rule: o datasource com maior precedence vence o atributo disputado. authoritative torna o datasource dono absoluto; authoritative_overwrite_on_empty permite limpar o campo mesmo com valor vazio. Mapeamento atributo→datasource em cmdb_data_source_for_attribute.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100"/>
        <w:gridCol w:w="1226"/>
        <w:gridCol w:w="14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Datasources concorrentes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Datasource autoritativo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Precedence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Overwrite on empty?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os / os_version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Discovery, SCCM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SCCM, Import HR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Import HR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Discovery, SGC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</w:tbl>
    <w:p>
      <w:pPr>
        <w:pStyle w:val="Heading2"/>
      </w:pPr>
      <w:r>
        <w:t xml:space="preserve">5.4 Estratégia de deduplicação</w:t>
      </w:r>
    </w:p>
    <w:p>
      <w:pPr>
        <w:spacing w:after="120" w:before="0" w:line="276"/>
      </w:pPr>
      <w:r>
        <w:t xml:space="preserve">Job CMDB Deduplication (cmdb_dedup): Master CI absorve duplicatas e os relacionamentos migram automaticamente. Tarefas em cmdb_dedup_task — revisar antes de executar em produção. Dedup agressivo sem corrigir as IR rules recria duplicatas no próximo Discovery: a correção da regra precede a deduplicação.</w:t>
      </w:r>
    </w:p>
    <w:p>
      <w:pPr>
        <w:pStyle w:val="Heading2"/>
      </w:pPr>
      <w:r>
        <w:t xml:space="preserve">5.5 Tratamento de stale CIs</w:t>
      </w:r>
    </w:p>
    <w:p>
      <w:pPr>
        <w:spacing w:after="120" w:before="0" w:line="276"/>
      </w:pPr>
      <w:r>
        <w:t xml:space="preserve">Config em cmdb_stale_ci_config por classe (threshold em dias + ação). Discovery atualiza last_discovered a cada run bem-sucedido; fontes externas dependem de last_seen_by_datasource. Distinguir retire (install_status=7, permanece em cmdb_ci) de delete.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400"/>
        <w:gridCol w:w="21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Threshold (dias)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Origem do last_seen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cmdb_ci_server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〔45〕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Mark stale → retire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cmdb_ci_vm_instance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〔7〕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Retire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Service Mapping</w:t>
      </w:r>
    </w:p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Inclua esta seção apenas se Service Mapping estiver em escopo. Caso contrário, marque como N/A e mantenha para versões futuras.</w:t>
      </w:r>
    </w:p>
    <w:p>
      <w:pPr>
        <w:pStyle w:val="Heading2"/>
      </w:pPr>
      <w:r>
        <w:t xml:space="preserve">6.1 Abordagem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Top-Down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Bottom-Up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Entrada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Business Service + Entry Point (IP:porta)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 já existente na CMDB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Fluxo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Segue conexões de rede a partir do entry point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Infere serviço a partir do CI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Uso ideal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Mapear serviços de negócio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Completar lacunas de CMDB existente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Dependência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 com acesso pleno à rede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CIs bem preenchidos</w:t>
            </w:r>
          </w:p>
        </w:tc>
      </w:tr>
    </w:tbl>
    <w:p>
      <w:pPr>
        <w:pStyle w:val="Heading2"/>
      </w:pPr>
      <w:r>
        <w:t xml:space="preserve">6.2 Entry points e patterns de mapeamento</w:t>
      </w:r>
    </w:p>
    <w:p>
      <w:pPr>
        <w:spacing w:after="120" w:before="0" w:line="276"/>
      </w:pPr>
      <w:r>
        <w:t xml:space="preserve">Entry points em sa_entry_point (IP, porta, protocolo); patterns de mapeamento em sa_pattern_mapping. Traffic-based discovery usa conexões ativas/netflow para dependências reais. Entry point sobre VIP de load balancer mascara backends — usar VIP awareness. Controlar loops com max_depth no schedule (default 10).</w:t>
      </w:r>
    </w:p>
    <w:p>
      <w:r>
        <w:br w:type="page"/>
      </w:r>
    </w:p>
    <w:p>
      <w:pPr>
        <w:pStyle w:val="Heading1"/>
      </w:pPr>
      <w:r>
        <w:t xml:space="preserve">7. CMDB Health e Governança Contínua</w:t>
      </w:r>
    </w:p>
    <w:p>
      <w:pPr>
        <w:pStyle w:val="Heading2"/>
      </w:pPr>
      <w:r>
        <w:t xml:space="preserve">7.1 KPIs de saúde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626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 (tabela/módulo)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Completeness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 de atributos obrigatórios preenchidos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cmdb_health_result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Correctness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Atributos com valor válido (formato/lista)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cmdb_health_result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CIs aderentes às políticas definidas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cmdb_health_kpi_defn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Staleness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CIs além do threshold de atualização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cmdb_stale_ci_config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〔%〕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Duplicates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CIs com mesma identidade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cmdb_dedup_task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〔n〕</w:t>
            </w:r>
          </w:p>
        </w:tc>
      </w:tr>
    </w:tbl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Health score baixo costuma vir de classes sem KPI definitions configuradas — verifique cmdb_health_kpi_defn por classe antes de concluir que o dado está ruim.</w:t>
      </w:r>
    </w:p>
    <w:p>
      <w:pPr>
        <w:pStyle w:val="Heading2"/>
      </w:pPr>
      <w:r>
        <w:t xml:space="preserve">7.2 Dashboards e cadência de revisão</w:t>
      </w:r>
    </w:p>
    <w:p>
      <w:pPr>
        <w:spacing w:after="120" w:before="0" w:line="276"/>
      </w:pPr>
      <w:r>
        <w:t xml:space="preserve">CMDB Health Dashboard revisado em cadência 〔semanal/mensal〕 pelo Configuration Manager. Tendência por classe e por domínio CSDM. Gatilhos de remediação quando KPI cai abaixo da meta.</w:t>
      </w:r>
    </w:p>
    <w:p>
      <w:pPr>
        <w:pStyle w:val="Heading2"/>
      </w:pPr>
      <w:r>
        <w:t xml:space="preserve">7.3 Ownership e RACI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 Owner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Steward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técnico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Sponsor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Definição de políticas de dados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Correção de duplicatas/staleness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Aprovação de extensão de classe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Revisão de Health KPIs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</w:t>
            </w:r>
          </w:p>
        </w:tc>
      </w:tr>
    </w:tbl>
    <w:p>
      <w:pPr>
        <w:spacing w:after="120" w:before="0" w:line="276"/>
      </w:pPr>
      <w:r>
        <w:rPr>
          <w:i/>
          <w:iCs/>
          <w:color w:val="595959"/>
          <w:sz w:val="16"/>
          <w:szCs w:val="16"/>
        </w:rPr>
        <w:t xml:space="preserve">Legenda: R = Responsável · A = Aprovador · C = Consultado · I = Informado.</w:t>
      </w:r>
    </w:p>
    <w:p>
      <w:r>
        <w:br w:type="page"/>
      </w:r>
    </w:p>
    <w:p>
      <w:pPr>
        <w:pStyle w:val="Heading1"/>
      </w:pPr>
      <w:r>
        <w:t xml:space="preserve">8. Segurança, Acessos e Integrações</w:t>
      </w:r>
    </w:p>
    <w:p>
      <w:pPr>
        <w:pStyle w:val="Heading2"/>
      </w:pPr>
      <w:r>
        <w:t xml:space="preserve">8.1 Roles e ACLs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30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ServiceNow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Escopo de acesso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Administração de Discovery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discovery_admin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Schedules, MID, patterns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Gestão de CMDB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itil / cmdb_admin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CIs e relacionamentos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Leitura de CMDB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snc_read_only / custom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Consulta</w:t>
            </w:r>
          </w:p>
        </w:tc>
      </w:tr>
    </w:tbl>
    <w:p>
      <w:pPr>
        <w:pStyle w:val="Heading2"/>
      </w:pPr>
      <w:r>
        <w:t xml:space="preserve">8.2 Datasources externos (integrações)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526"/>
        <w:gridCol w:w="1500"/>
        <w:gridCol w:w="14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Datasource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Atributos contribuídos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Autoritativo p/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SCCM/Intune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SGC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OS, software, assigned_to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Diária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〔CMDB legada〕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Import Set → IRE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〔atributos〕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〔—〕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〔—〕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Plano de Implementação Faseado</w:t>
      </w:r>
    </w:p>
    <w:p>
      <w:pPr>
        <w:spacing w:after="120" w:before="0" w:line="276"/>
      </w:pPr>
      <w:r>
        <w:t xml:space="preserve">Adoção incremental alinhada ao princípio crawl-walk-run-fly do CSDM. Cada fase entrega valor mensurável e estabiliza a CMDB antes da próxima.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626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saída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Janela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Crawl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Foundation + Discovery horizontal core; IR rules base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Health &gt; 〔meta〕 nas classes-core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〔sprint〕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Walk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Cloud Discovery + SGC; reconciliation multi-source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Dedup &lt; 〔meta〕; precedence definida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〔sprint〕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Vertical/app discovery; relacionamentos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Cobertura de apps 〔%〕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〔sprint〕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Fly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Service Mapping; governança contínua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Serviços mapeados 〔n〕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〔sprint〕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Critérios de Aceite e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726"/>
        <w:gridCol w:w="14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Discovery horizontal Linux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 criado com classe, OS, IP, serial corretos; sem duplicata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〔Pass/Fail〕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Reconciliação multi-source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Atributo autoritativo prevalece conforme precedence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〔Pass/Fail〕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Dedup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Master absorve duplicata; relacionamentos migrados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〔Pass/Fail〕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Stale CI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 além do threshold marcado/retired conforme política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〔Pass/Fail〕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11. Riscos e Mitigações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Escopo difuso de Discovery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CMDB suja, retrabalho</w:t>
            </w:r>
          </w:p>
        </w:tc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Escopo por capability + outcome; fases crawl-walk-run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IR rules com atributo nulo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Duplicatas em massa</w:t>
            </w:r>
          </w:p>
        </w:tc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Qualifiers excluindo nulos; revisão pré-prod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 sem affinity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 crítico atendido por MID errado</w:t>
            </w:r>
          </w:p>
        </w:tc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mid.affinity por range/classification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Extensão de classe fora do CSDM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Quebra de Health KPIs/relatórios</w:t>
            </w:r>
          </w:p>
        </w:tc>
        <w:tc>
          <w:tcPr>
            <w:tcW w:type="dxa" w:w="1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Revisão de arquitetura obrigatória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 A — Inventário consolidado de classes de CI</w:t>
      </w:r>
    </w:p>
    <w:p>
      <w:pPr>
        <w:pBdr>
          <w:left w:val="single" w:color="2E75B6" w:sz="18" w:space="8"/>
        </w:pBdr>
        <w:shd w:fill="EAF2FB" w:val="clear"/>
        <w:spacing w:after="140" w:before="40" w:line="264"/>
        <w:ind w:left="120"/>
      </w:pPr>
      <w:r>
        <w:rPr>
          <w:b/>
          <w:bCs/>
          <w:i/>
          <w:iCs/>
          <w:color w:val="1F4E79"/>
          <w:sz w:val="18"/>
          <w:szCs w:val="18"/>
        </w:rPr>
        <w:t xml:space="preserve">▸ Orientação  </w:t>
      </w:r>
      <w:r>
        <w:rPr>
          <w:i/>
          <w:iCs/>
          <w:color w:val="1A3A5C"/>
          <w:sz w:val="18"/>
          <w:szCs w:val="18"/>
        </w:rPr>
        <w:t xml:space="preserve">Tabela viva — mantenha sincronizada com a seção 3.3. Em projetos de remodelagem, gere a partir de um export de sys_db_object filtrado por super_class = cmdb_ci.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626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Estende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Fonte autoritativa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 escopo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Anexo B — Matriz de reconciliação por atributo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826"/>
        <w:gridCol w:w="14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Datasource autoritativo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Demais fontes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color w:val="595959"/>
        <w:sz w:val="15"/>
        <w:szCs w:val="15"/>
      </w:rPr>
      <w:t xml:space="preserve">〔Cliente〕  ·  Página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de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60"/>
      <w:jc w:val="right"/>
    </w:pPr>
    <w:r>
      <w:rPr>
        <w:color w:val="595959"/>
        <w:sz w:val="15"/>
        <w:szCs w:val="15"/>
      </w:rPr>
      <w:t xml:space="preserve">Technical Design Document — Discovery &amp; CMDB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— Discovery &amp; CMDB</dc:title>
  <dc:creator>Consultoria ITOM</dc:creator>
  <cp:lastModifiedBy>Un-named</cp:lastModifiedBy>
  <cp:revision>1</cp:revision>
  <dcterms:created xsi:type="dcterms:W3CDTF">2026-06-05T11:59:28.977Z</dcterms:created>
  <dcterms:modified xsi:type="dcterms:W3CDTF">2026-06-05T11:59:28.978Z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