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3079"/>
        <w:gridCol w:w="3079"/>
        <w:gridCol w:w="3079"/>
        <w:gridCol w:w="3082"/>
      </w:tblGrid>
      <w:tr>
        <w:tc>
          <w:tcPr>
            <w:gridSpan w:val="5"/>
            <w:tcBorders>
              <w:top w:val="single" w:color="1B5E20" w:sz="12"/>
              <w:left w:val="single" w:color="1B5E20" w:sz="12"/>
              <w:bottom w:val="single" w:color="1B5E20" w:sz="12"/>
              <w:right w:val="single" w:color="1B5E20" w:sz="12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LEAN CANVAS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5D6A7"/>
                <w:sz w:val="28"/>
                <w:szCs w:val="28"/>
              </w:rPr>
              <w:t xml:space="preserve">·  ecoo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E6C9"/>
                <w:sz w:val="20"/>
                <w:szCs w:val="20"/>
              </w:rPr>
              <w:t xml:space="preserve">  —  Categoría: Responsabilidad Social Empresarial (RSE)</w:t>
            </w:r>
          </w:p>
        </w:tc>
      </w:tr>
      <w:tr>
        <w:trPr>
          <w:trHeight w:val="3400" w:hRule="atLeast"/>
        </w:trPr>
        <w:tc>
          <w:tcPr>
            <w:tcW w:type="dxa" w:w="3079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F9FB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🔴  PROBLEMA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Nadie actúa: hacer acciones ecológicas no tiene beneficio económico tangible.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RSE vacía: las empresas invierten en imagen verde sin datos de impacto reales.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Ecosistema roto: en Santa Cruz no existe infraestructura que conecte acción ecológica con recompensa.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Alternativas actuales: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Campañas RSE sin métricas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Apps de reciclaje sin incentivo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Puntos de fidelización sin propósito ambiental</w:t>
            </w:r>
          </w:p>
        </w:tc>
        <w:tc>
          <w:tcPr>
            <w:tcW w:type="dxa" w:w="3079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💡  SOLUCIÓN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Plataforma digital B2B2C donde cada acción sostenible verificada genera EcoCoins.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Los EcoCoins son canjeables en negocios locales de Santa Cruz: cafés, gimnasios, tiendas.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Las empresas pagan suscripción mensual y reciben panel de métricas RSE en tiempo real.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Sistema QR físico para verificar acciones (reciclaje, transporte alternativo, compra sostenible).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MVP en 90 días, sin app, validación real con WhatsApp + formularios.</w:t>
            </w:r>
          </w:p>
        </w:tc>
        <w:tc>
          <w:tcPr>
            <w:tcW w:type="dxa" w:w="3079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⭐  PROPUESTA DE VALOR</w:t>
            </w:r>
          </w:p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5E20"/>
                <w:sz w:val="19"/>
                <w:szCs w:val="19"/>
              </w:rPr>
              <w:t xml:space="preserve">"Convierte tus acciones sostenibles en recompensas reales."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Para el usuario: incentivo económico por ser ecológico.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Para la empresa: impacto RSE medible, trazable y comunicable.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Para la ciudad: primer ecosistema verde con economía circular real en Santa Cruz.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Cada EcoCoin emitido tiene una acción ecológica verificada detrás — cero greenwashing.</w:t>
            </w:r>
          </w:p>
        </w:tc>
        <w:tc>
          <w:tcPr>
            <w:tcW w:type="dxa" w:w="3079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F9FB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🏆  VENTAJA INJUSTA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Único modelo B2B2C verde en Bolivia: sin competidor directo.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 de alianzas con empresas piloto co-financian el lanzamiento.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Datos propietarios de comportamiento ecológico verificado.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First-mover advantage en Santa Cruz.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Efecto red: más usuarios → más valor para empresas → más incentivos para usuarios.</w:t>
            </w:r>
          </w:p>
        </w:tc>
        <w:tc>
          <w:tcPr>
            <w:tcW w:type="dxa" w:w="3082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👥  SEGMENTO DE CLIENTES</w:t>
            </w:r>
          </w:p>
          <w:p>
            <w:pPr>
              <w:spacing w:after="6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Usuarios (B2C):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18–35 años, estudiantes universitarios y jóvenes profesionales de Santa Cruz.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 conciencia eco pero sin incentivo para actuar.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Empresas (B2B):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PyMEs y medianas empresas con presupuesto RSE.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Marcas que buscan posicionamiento eco auténtico y medible.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Early Adopters: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3–5 empresas piloto dispuestas a co-financiar por posicionamiento preferencial.</w:t>
            </w:r>
          </w:p>
        </w:tc>
      </w:tr>
      <w:tr>
        <w:trPr>
          <w:trHeight w:val="2800" w:hRule="atLeast"/>
        </w:trPr>
        <w:tc>
          <w:tcPr>
            <w:tcW w:type="dxa" w:w="3079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📊  MÉTRICAS CLAVE (RSE)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Kg de residuos reciclados verificados por semana.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CO₂ evitado estimado por acciones de transporte y consumo.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Nº de EcoCoins emitidos y canjeados (tasa de conversión).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Retención mensual de usuarios activos.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ROI RSE por empresa: impacto generado / inversión.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NPS de usuarios y empresas asociadas.</w:t>
            </w:r>
          </w:p>
        </w:tc>
        <w:tc>
          <w:tcPr>
            <w:gridSpan w:val="2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🌱  CONCEPTO DE ALTO NIVEL</w:t>
            </w:r>
          </w:p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5E20"/>
                <w:sz w:val="20"/>
                <w:szCs w:val="20"/>
              </w:rPr>
              <w:t xml:space="preserve">"La economía que premia hacer el bien."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Ecoo es la infraestructura que faltaba entre la buena voluntad ambiental y el beneficio real. Conecta a ciudadanos que quieren actuar con empresas que necesitan demostrar impacto — usando EcoCoins como moneda del cambio.</w:t>
            </w:r>
          </w:p>
        </w:tc>
        <w:tc>
          <w:tcPr>
            <w:tcW w:type="dxa" w:w="3079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F9FB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📣  CANALES DE VENTA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App móvil + web (fase 2).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QR físico en puntos de reciclaje y tiendas aliadas.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WhatsApp + Google Forms (MVP fase 1).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Redes sociales (Instagram, TikTok).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Activaciones en universidades (UPSA, UAGRM).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Venta directa B2B a PyMEs y marcas.</w:t>
            </w:r>
          </w:p>
        </w:tc>
        <w:tc>
          <w:tcPr>
            <w:tcW w:type="dxa" w:w="3082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🚀  PRIMEROS USUARIOS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Estudiantes UPSA con sensibilidad ambiental.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Jóvenes que ya reciclan o usan transporte alternativo pero sin incentivo.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3–5 empresas "verdes" dispuestas a probar el modelo en el piloto.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Negocios locales (cafés, gimnasios) como socios de canje.</w:t>
            </w:r>
          </w:p>
        </w:tc>
      </w:tr>
      <w:tr>
        <w:trPr>
          <w:trHeight w:val="2400" w:hRule="atLeast"/>
        </w:trPr>
        <w:tc>
          <w:tcPr>
            <w:tcW w:type="dxa" w:w="7699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💰  ESTRUCTURA DE COSTOS</w:t>
            </w:r>
          </w:p>
          <w:p>
            <w:pPr>
              <w:spacing w:after="6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Inversión inicial estimada: $2,000 – $2,500 USD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Desarrollo MVP (web + QR): $800 – $1,200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Diseño de marca Ecoo + EcoCoins: $200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Marketing de lanzamiento: $300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Gestión y operaciones (3 meses): $500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Contingencias: $200 – $300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D32"/>
                <w:sz w:val="17"/>
                <w:szCs w:val="17"/>
              </w:rPr>
              <w:t xml:space="preserve">Co-financiamiento: las empresas piloto cubren parte del costo a cambio de posicionamiento preferencial.</w:t>
            </w:r>
          </w:p>
        </w:tc>
        <w:tc>
          <w:tcPr>
            <w:tcW w:type="dxa" w:w="7699"/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📈  FLUJOS DE INGRESOS &amp; SOSTENIBILIDAD RSE</w:t>
            </w:r>
          </w:p>
          <w:p>
            <w:pPr>
              <w:spacing w:after="6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Modelo de ingresos: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Suscripción mensual B2B: empresas pagan según volumen de EcoCoins emitidos.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Comisión por canje: pequeño porcentaje sobre cada transacción EcoCoin.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Licenciamiento de datos de impacto ambiental anonimizados (largo plazo).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Sostenibilidad del proyecto (RSE):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 modelo se autofinancia: ingresos B2B cubren incentivos B2C desde el mes 4.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Alianzas con municipio / ONGs amplían cobertura sin costo adicional.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3A047"/>
                <w:sz w:val="18"/>
                <w:szCs w:val="18"/>
              </w:rPr>
              <w:t xml:space="preserve">▸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 mayor red de usuarios → mayor valor para empresas → más ingresos → más impacto.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B5E20"/>
                <w:sz w:val="17"/>
                <w:szCs w:val="17"/>
              </w:rPr>
              <w:t xml:space="preserve">KPI de impacto RSE: cada $1 invertido por empresa genera métricas verificables de impacto ambiental.</w:t>
            </w:r>
          </w:p>
        </w:tc>
      </w:tr>
    </w:tbl>
    <w:p>
      <w:pPr>
        <w:spacing w:after="6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5E20"/>
          <w:sz w:val="17"/>
          <w:szCs w:val="17"/>
        </w:rPr>
        <w:t xml:space="preserve">⚙  Nota RSE: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7"/>
          <w:szCs w:val="17"/>
        </w:rPr>
        <w:t xml:space="preserve">Ecoo cumple los requisitos específicos de la categoría RSE con métricas de impacto social y ambiental trazables (kg reciclados, CO₂ evitado, ROI por empresa) y un modelo de autosostenibilidad donde los ingresos B2B financian los incentivos ciudadanos desde el cuarto mes de operación.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Calibri" w:cs="Calibri" w:eastAsia="Calibri" w:hAnsi="Calibri"/>
        <w:b w:val="false"/>
        <w:bCs w:val="false"/>
        <w:i/>
        <w:iCs/>
        <w:color w:val="2E7D32"/>
        <w:sz w:val="16"/>
        <w:szCs w:val="16"/>
      </w:rPr>
      <w:t xml:space="preserve">Modelo Lean Canvas  ·  ecoo  ·  Santa Cruz de la Sierra, Bolivia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  <w:jc w:val="left"/>
    </w:pPr>
    <w:r>
      <w:rPr>
        <w:rFonts w:ascii="Calibri" w:cs="Calibri" w:eastAsia="Calibri" w:hAnsi="Calibri"/>
        <w:b/>
        <w:bCs/>
        <w:i w:val="false"/>
        <w:iCs w:val="false"/>
        <w:color w:val="1B5E20"/>
        <w:sz w:val="18"/>
        <w:szCs w:val="18"/>
      </w:rPr>
      <w:t xml:space="preserve">ecoo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2E7D32"/>
        <w:sz w:val="17"/>
        <w:szCs w:val="17"/>
      </w:rPr>
      <w:t xml:space="preserve">—  Feria de Innovación y Emprendimiento UPSA 2026  |  Categoría RSE</w:t>
    </w:r>
    <w:r>
      <w:rPr>
        <w:rFonts w:ascii="Calibri" w:cs="Calibri" w:eastAsia="Calibri" w:hAnsi="Calibri"/>
        <w:b w:val="false"/>
        <w:bCs w:val="false"/>
        <w:i w:val="false"/>
        <w:iCs w:val="false"/>
        <w:color w:val="333333"/>
        <w:sz w:val="17"/>
        <w:szCs w:val="17"/>
      </w:rPr>
      <w:t xml:space="preserve">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2026-05-17T01:24:46.878Z</dcterms:created>
  <dcterms:modified xsi:type="dcterms:W3CDTF">2026-05-17T01:24:46.878Z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